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CEA9" w14:textId="77777777" w:rsidR="00EB27B3" w:rsidRDefault="00EB27B3" w:rsidP="00EB27B3">
      <w:pPr>
        <w:pStyle w:val="CorpsdetexteMsoNormal"/>
        <w:spacing w:after="0"/>
        <w:jc w:val="center"/>
      </w:pPr>
      <w:r>
        <w:rPr>
          <w:rFonts w:ascii="Geneva" w:hAnsi="Geneva"/>
          <w:sz w:val="20"/>
        </w:rPr>
        <w:t xml:space="preserve">COMMUNE DE </w:t>
      </w:r>
      <w:r w:rsidR="00591645">
        <w:rPr>
          <w:rFonts w:ascii="Geneva" w:hAnsi="Geneva"/>
          <w:sz w:val="20"/>
        </w:rPr>
        <w:t>GYE SUR SEINE</w:t>
      </w:r>
    </w:p>
    <w:p w14:paraId="3A7EF18D" w14:textId="77777777" w:rsidR="002F6DD7" w:rsidRDefault="002F6DD7" w:rsidP="00EB27B3">
      <w:pPr>
        <w:pStyle w:val="CorpsdetexteMsoNormal"/>
        <w:spacing w:after="0"/>
        <w:jc w:val="center"/>
        <w:rPr>
          <w:rFonts w:ascii="Geneva" w:hAnsi="Geneva" w:hint="eastAsia"/>
          <w:b/>
          <w:sz w:val="20"/>
        </w:rPr>
      </w:pPr>
    </w:p>
    <w:p w14:paraId="330584FE" w14:textId="0B6D6C9C" w:rsidR="00EB27B3" w:rsidRDefault="00EB27B3" w:rsidP="00EB27B3">
      <w:pPr>
        <w:pStyle w:val="CorpsdetexteMsoNormal"/>
        <w:spacing w:after="0"/>
        <w:jc w:val="center"/>
        <w:rPr>
          <w:rFonts w:ascii="Geneva" w:hAnsi="Geneva" w:hint="eastAsia"/>
          <w:b/>
          <w:sz w:val="20"/>
        </w:rPr>
      </w:pPr>
      <w:r>
        <w:rPr>
          <w:rFonts w:ascii="Geneva" w:hAnsi="Geneva"/>
          <w:b/>
          <w:sz w:val="20"/>
        </w:rPr>
        <w:t xml:space="preserve">NOTE DE PRESENTATION BREVE ET SYNTHETIQUE DU COMPTE </w:t>
      </w:r>
      <w:r w:rsidR="008479A8">
        <w:rPr>
          <w:rFonts w:ascii="Geneva" w:hAnsi="Geneva"/>
          <w:b/>
          <w:sz w:val="20"/>
        </w:rPr>
        <w:t xml:space="preserve">FINANCIER UNIQUE </w:t>
      </w:r>
      <w:r w:rsidR="00B54843">
        <w:rPr>
          <w:rFonts w:ascii="Geneva" w:hAnsi="Geneva"/>
          <w:b/>
          <w:sz w:val="20"/>
        </w:rPr>
        <w:t>2025</w:t>
      </w:r>
    </w:p>
    <w:p w14:paraId="75CBC4C9" w14:textId="77777777" w:rsidR="00EB27B3" w:rsidRDefault="00EB27B3" w:rsidP="00EB27B3">
      <w:pPr>
        <w:pStyle w:val="CorpsdetexteMsoNormal"/>
        <w:spacing w:after="0"/>
        <w:jc w:val="center"/>
      </w:pPr>
    </w:p>
    <w:p w14:paraId="25493BEC" w14:textId="0BB9256E" w:rsidR="00EB552E" w:rsidRPr="007B7FFA" w:rsidRDefault="00EB552E" w:rsidP="00EB552E">
      <w:pPr>
        <w:jc w:val="both"/>
        <w:rPr>
          <w:sz w:val="20"/>
          <w:szCs w:val="20"/>
        </w:rPr>
      </w:pPr>
      <w:r w:rsidRPr="007B7FFA">
        <w:rPr>
          <w:sz w:val="20"/>
          <w:szCs w:val="20"/>
        </w:rPr>
        <w:t xml:space="preserve">L’article L. 2313-1 du code général des collectivités territoriales prévoit qu’une présentation brève et synthétique retraçant les informations financières essentielles doit être annexée au compte </w:t>
      </w:r>
      <w:r w:rsidR="008479A8">
        <w:rPr>
          <w:sz w:val="20"/>
          <w:szCs w:val="20"/>
        </w:rPr>
        <w:t>financier unique</w:t>
      </w:r>
      <w:r w:rsidRPr="007B7FFA">
        <w:rPr>
          <w:sz w:val="20"/>
          <w:szCs w:val="20"/>
        </w:rPr>
        <w:t>. La présente note répond à cette obligation.</w:t>
      </w:r>
    </w:p>
    <w:p w14:paraId="24FA3DDB" w14:textId="77777777" w:rsidR="008479A8" w:rsidRDefault="00EB552E" w:rsidP="00EB552E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 xml:space="preserve">Pour mémoire, le compte </w:t>
      </w:r>
      <w:r w:rsidR="008479A8">
        <w:rPr>
          <w:sz w:val="20"/>
          <w:szCs w:val="20"/>
        </w:rPr>
        <w:t>financier unique</w:t>
      </w:r>
      <w:r w:rsidRPr="007B7FFA">
        <w:rPr>
          <w:sz w:val="20"/>
          <w:szCs w:val="20"/>
        </w:rPr>
        <w:t> :</w:t>
      </w:r>
    </w:p>
    <w:p w14:paraId="5E45ABCB" w14:textId="128C4916" w:rsidR="008479A8" w:rsidRDefault="008479A8" w:rsidP="008479A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est</w:t>
      </w:r>
      <w:proofErr w:type="gramEnd"/>
      <w:r>
        <w:rPr>
          <w:sz w:val="20"/>
          <w:szCs w:val="20"/>
        </w:rPr>
        <w:t xml:space="preserve"> le document budgétaire qui se substitue à la fois au compte administratif et au compte de gestion,</w:t>
      </w:r>
    </w:p>
    <w:p w14:paraId="435AF3F2" w14:textId="2ADC93C1" w:rsidR="008479A8" w:rsidRPr="007B7FFA" w:rsidRDefault="008479A8" w:rsidP="00EB55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e</w:t>
      </w:r>
      <w:r w:rsidRPr="007B7FFA">
        <w:rPr>
          <w:sz w:val="20"/>
          <w:szCs w:val="20"/>
        </w:rPr>
        <w:t>st</w:t>
      </w:r>
      <w:proofErr w:type="gramEnd"/>
      <w:r w:rsidRPr="007B7FFA">
        <w:rPr>
          <w:sz w:val="20"/>
          <w:szCs w:val="20"/>
        </w:rPr>
        <w:t xml:space="preserve"> établi en fin d’exercice</w:t>
      </w:r>
      <w:r>
        <w:rPr>
          <w:sz w:val="20"/>
          <w:szCs w:val="20"/>
        </w:rPr>
        <w:t>,</w:t>
      </w:r>
    </w:p>
    <w:p w14:paraId="1BE5F4A8" w14:textId="586988C9" w:rsidR="00EB552E" w:rsidRPr="007B7FFA" w:rsidRDefault="002F6DD7" w:rsidP="00EB55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e</w:t>
      </w:r>
      <w:r w:rsidR="00EB552E" w:rsidRPr="007B7FFA">
        <w:rPr>
          <w:sz w:val="20"/>
          <w:szCs w:val="20"/>
        </w:rPr>
        <w:t>st</w:t>
      </w:r>
      <w:proofErr w:type="gramEnd"/>
      <w:r w:rsidR="00EB552E" w:rsidRPr="007B7FFA">
        <w:rPr>
          <w:sz w:val="20"/>
          <w:szCs w:val="20"/>
        </w:rPr>
        <w:t xml:space="preserve"> le bilan financier de la commune. Il rend compte des opérations budgétaires exécutées</w:t>
      </w:r>
      <w:r w:rsidR="008479A8">
        <w:rPr>
          <w:sz w:val="20"/>
          <w:szCs w:val="20"/>
        </w:rPr>
        <w:t>,</w:t>
      </w:r>
    </w:p>
    <w:p w14:paraId="5FE78B8C" w14:textId="77777777" w:rsidR="00EB552E" w:rsidRPr="007B7FFA" w:rsidRDefault="00EB552E" w:rsidP="00EB55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B7FFA">
        <w:rPr>
          <w:sz w:val="20"/>
          <w:szCs w:val="20"/>
        </w:rPr>
        <w:t>rapproche</w:t>
      </w:r>
      <w:proofErr w:type="gramEnd"/>
      <w:r w:rsidRPr="007B7FFA">
        <w:rPr>
          <w:sz w:val="20"/>
          <w:szCs w:val="20"/>
        </w:rPr>
        <w:t xml:space="preserve"> des prévisions budgétaires inscrites au budget primitif des réalisations effectives, en dépenses et en recettes, pour les deux sections</w:t>
      </w:r>
      <w:r w:rsidR="002F6DD7">
        <w:rPr>
          <w:sz w:val="20"/>
          <w:szCs w:val="20"/>
        </w:rPr>
        <w:t>,</w:t>
      </w:r>
    </w:p>
    <w:p w14:paraId="50E174BE" w14:textId="77777777" w:rsidR="00EB552E" w:rsidRPr="007B7FFA" w:rsidRDefault="002F6DD7" w:rsidP="00EB55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EB552E" w:rsidRPr="007B7FFA">
        <w:rPr>
          <w:sz w:val="20"/>
          <w:szCs w:val="20"/>
        </w:rPr>
        <w:t>e présente de la même manière que le budget pour permettre la comparaison et présenter les résultats comptables de l’exercice.</w:t>
      </w:r>
    </w:p>
    <w:p w14:paraId="744872AA" w14:textId="77777777" w:rsidR="00EB552E" w:rsidRPr="007B7FFA" w:rsidRDefault="00EB552E" w:rsidP="00EB552E">
      <w:pPr>
        <w:pStyle w:val="Paragraphedeliste"/>
        <w:spacing w:after="0" w:line="240" w:lineRule="auto"/>
        <w:jc w:val="both"/>
        <w:rPr>
          <w:sz w:val="20"/>
          <w:szCs w:val="20"/>
        </w:rPr>
      </w:pPr>
    </w:p>
    <w:p w14:paraId="1A63D534" w14:textId="5375D0D4" w:rsidR="00EB552E" w:rsidRPr="007B7FFA" w:rsidRDefault="00EB552E" w:rsidP="00EB552E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 xml:space="preserve">Le compte </w:t>
      </w:r>
      <w:r w:rsidR="00FE2674">
        <w:rPr>
          <w:sz w:val="20"/>
          <w:szCs w:val="20"/>
        </w:rPr>
        <w:t>financier unique</w:t>
      </w:r>
      <w:r w:rsidRPr="007B7FFA">
        <w:rPr>
          <w:sz w:val="20"/>
          <w:szCs w:val="20"/>
        </w:rPr>
        <w:t xml:space="preserve"> comporte deux grandes sections bien distinctes :</w:t>
      </w:r>
    </w:p>
    <w:p w14:paraId="02F6DFAC" w14:textId="77777777" w:rsidR="00EB552E" w:rsidRPr="007B7FFA" w:rsidRDefault="00EB552E" w:rsidP="00EB55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7FFA">
        <w:rPr>
          <w:b/>
          <w:bCs/>
          <w:color w:val="7030A0"/>
          <w:sz w:val="20"/>
          <w:szCs w:val="20"/>
        </w:rPr>
        <w:t>La section de fonctionnement</w:t>
      </w:r>
      <w:r w:rsidR="00591645">
        <w:rPr>
          <w:b/>
          <w:bCs/>
          <w:color w:val="7030A0"/>
          <w:sz w:val="20"/>
          <w:szCs w:val="20"/>
        </w:rPr>
        <w:t xml:space="preserve"> </w:t>
      </w:r>
      <w:r w:rsidRPr="007B7FFA">
        <w:rPr>
          <w:sz w:val="20"/>
          <w:szCs w:val="20"/>
        </w:rPr>
        <w:t>qui concerne la gestion courante de la commune,</w:t>
      </w:r>
    </w:p>
    <w:p w14:paraId="53EF6A4D" w14:textId="77777777" w:rsidR="00EB552E" w:rsidRPr="007B7FFA" w:rsidRDefault="00EB552E" w:rsidP="00EB55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7FFA">
        <w:rPr>
          <w:b/>
          <w:bCs/>
          <w:color w:val="7030A0"/>
          <w:sz w:val="20"/>
          <w:szCs w:val="20"/>
        </w:rPr>
        <w:t>La section d’investissement</w:t>
      </w:r>
      <w:r w:rsidR="00591645">
        <w:rPr>
          <w:b/>
          <w:bCs/>
          <w:color w:val="7030A0"/>
          <w:sz w:val="20"/>
          <w:szCs w:val="20"/>
        </w:rPr>
        <w:t xml:space="preserve"> </w:t>
      </w:r>
      <w:r w:rsidRPr="007B7FFA">
        <w:rPr>
          <w:sz w:val="20"/>
          <w:szCs w:val="20"/>
        </w:rPr>
        <w:t>qui retrace les opérations non courantes, ponctuelles, de nature à modifier le patrimoine de la commune.</w:t>
      </w:r>
    </w:p>
    <w:p w14:paraId="22CDFB3F" w14:textId="77777777" w:rsidR="00EB552E" w:rsidRPr="007B7FFA" w:rsidRDefault="00EB552E" w:rsidP="00EB552E">
      <w:pPr>
        <w:pStyle w:val="Paragraphedeliste"/>
        <w:spacing w:after="0" w:line="240" w:lineRule="auto"/>
        <w:jc w:val="both"/>
        <w:rPr>
          <w:sz w:val="20"/>
          <w:szCs w:val="20"/>
        </w:rPr>
      </w:pPr>
    </w:p>
    <w:p w14:paraId="532C6040" w14:textId="3472C696" w:rsidR="00EB552E" w:rsidRDefault="00EB552E" w:rsidP="00EB552E">
      <w:pPr>
        <w:jc w:val="both"/>
        <w:rPr>
          <w:sz w:val="20"/>
          <w:szCs w:val="20"/>
        </w:rPr>
      </w:pPr>
      <w:r w:rsidRPr="007B7FFA">
        <w:rPr>
          <w:sz w:val="20"/>
          <w:szCs w:val="20"/>
        </w:rPr>
        <w:t xml:space="preserve">Contrairement à un budget qui doit être équilibré (dépenses = recettes pour chaque section), le compte </w:t>
      </w:r>
      <w:r w:rsidR="008479A8">
        <w:rPr>
          <w:sz w:val="20"/>
          <w:szCs w:val="20"/>
        </w:rPr>
        <w:t xml:space="preserve">financier unique </w:t>
      </w:r>
      <w:proofErr w:type="gramStart"/>
      <w:r w:rsidR="008479A8">
        <w:rPr>
          <w:sz w:val="20"/>
          <w:szCs w:val="20"/>
        </w:rPr>
        <w:t xml:space="preserve">fait </w:t>
      </w:r>
      <w:r w:rsidRPr="007B7FFA">
        <w:rPr>
          <w:sz w:val="20"/>
          <w:szCs w:val="20"/>
        </w:rPr>
        <w:t xml:space="preserve"> ressortir</w:t>
      </w:r>
      <w:proofErr w:type="gramEnd"/>
      <w:r w:rsidRPr="007B7FFA">
        <w:rPr>
          <w:sz w:val="20"/>
          <w:szCs w:val="20"/>
        </w:rPr>
        <w:t xml:space="preserve"> des écarts entre les dépenses et les recettes de chaque section. Son objectif est de dégager les résultats de l’exercice en sachant que les informations qui y figurent sont concordantes avec celles présentées par le Trésorier.</w:t>
      </w:r>
    </w:p>
    <w:p w14:paraId="68755236" w14:textId="77777777" w:rsidR="00EB552E" w:rsidRDefault="00EB552E" w:rsidP="00EB552E">
      <w:pPr>
        <w:jc w:val="both"/>
        <w:rPr>
          <w:sz w:val="20"/>
          <w:szCs w:val="20"/>
        </w:rPr>
      </w:pPr>
      <w:r w:rsidRPr="007B7FFA">
        <w:rPr>
          <w:sz w:val="20"/>
          <w:szCs w:val="20"/>
        </w:rPr>
        <w:t xml:space="preserve">On note une exécution financière saine au service des </w:t>
      </w:r>
      <w:r w:rsidR="00EB27B3">
        <w:rPr>
          <w:sz w:val="20"/>
          <w:szCs w:val="20"/>
        </w:rPr>
        <w:t>habitants</w:t>
      </w:r>
      <w:r w:rsidRPr="007B7FFA">
        <w:rPr>
          <w:sz w:val="20"/>
          <w:szCs w:val="20"/>
        </w:rPr>
        <w:t>.</w:t>
      </w:r>
    </w:p>
    <w:p w14:paraId="77DFCF16" w14:textId="2B1CFD43" w:rsidR="00EB552E" w:rsidRDefault="00EB552E" w:rsidP="00EB552E">
      <w:pPr>
        <w:shd w:val="clear" w:color="auto" w:fill="002060"/>
        <w:spacing w:after="0" w:line="240" w:lineRule="auto"/>
        <w:jc w:val="center"/>
        <w:rPr>
          <w:b/>
          <w:bCs/>
          <w:sz w:val="32"/>
          <w:szCs w:val="32"/>
        </w:rPr>
      </w:pPr>
      <w:r w:rsidRPr="004C189A">
        <w:rPr>
          <w:b/>
          <w:bCs/>
          <w:sz w:val="32"/>
          <w:szCs w:val="32"/>
        </w:rPr>
        <w:t xml:space="preserve">Note de présentation du compte </w:t>
      </w:r>
      <w:r w:rsidR="008479A8">
        <w:rPr>
          <w:b/>
          <w:bCs/>
          <w:sz w:val="32"/>
          <w:szCs w:val="32"/>
        </w:rPr>
        <w:t>financier unique</w:t>
      </w:r>
      <w:r w:rsidRPr="004C189A">
        <w:rPr>
          <w:b/>
          <w:bCs/>
          <w:sz w:val="32"/>
          <w:szCs w:val="32"/>
        </w:rPr>
        <w:t xml:space="preserve"> </w:t>
      </w:r>
      <w:r w:rsidR="00B54843">
        <w:rPr>
          <w:b/>
          <w:bCs/>
          <w:sz w:val="32"/>
          <w:szCs w:val="32"/>
        </w:rPr>
        <w:t>2025</w:t>
      </w:r>
    </w:p>
    <w:p w14:paraId="6018674A" w14:textId="77777777" w:rsidR="00EB552E" w:rsidRPr="004C189A" w:rsidRDefault="00D64052" w:rsidP="00EB552E">
      <w:pPr>
        <w:shd w:val="clear" w:color="auto" w:fill="002060"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Budget général</w:t>
      </w:r>
    </w:p>
    <w:p w14:paraId="233F7C18" w14:textId="77777777" w:rsidR="00EB552E" w:rsidRPr="007B7FFA" w:rsidRDefault="00EB552E" w:rsidP="004C189A">
      <w:pPr>
        <w:jc w:val="both"/>
        <w:rPr>
          <w:sz w:val="20"/>
          <w:szCs w:val="20"/>
        </w:rPr>
      </w:pPr>
    </w:p>
    <w:p w14:paraId="55886202" w14:textId="77777777" w:rsidR="004C189A" w:rsidRPr="007B7FFA" w:rsidRDefault="006514DB" w:rsidP="006514DB">
      <w:pPr>
        <w:shd w:val="clear" w:color="auto" w:fill="002060"/>
        <w:rPr>
          <w:b/>
          <w:bCs/>
          <w:color w:val="FFFFFF" w:themeColor="background1"/>
          <w:sz w:val="20"/>
          <w:szCs w:val="20"/>
        </w:rPr>
      </w:pPr>
      <w:r w:rsidRPr="007B7FFA">
        <w:rPr>
          <w:b/>
          <w:bCs/>
          <w:color w:val="FFFFFF" w:themeColor="background1"/>
          <w:sz w:val="20"/>
          <w:szCs w:val="20"/>
        </w:rPr>
        <w:t xml:space="preserve">1. </w:t>
      </w:r>
      <w:r w:rsidR="006672E2" w:rsidRPr="007B7FFA">
        <w:rPr>
          <w:b/>
          <w:bCs/>
          <w:color w:val="FFFFFF" w:themeColor="background1"/>
          <w:sz w:val="20"/>
          <w:szCs w:val="20"/>
        </w:rPr>
        <w:t>La section de fonctionnement</w:t>
      </w:r>
    </w:p>
    <w:p w14:paraId="6C24D6E4" w14:textId="77777777" w:rsidR="006514DB" w:rsidRPr="007B7FFA" w:rsidRDefault="006514DB" w:rsidP="007B7FFA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</w:rPr>
      </w:pPr>
      <w:r w:rsidRPr="007B7FFA">
        <w:rPr>
          <w:b/>
          <w:bCs/>
          <w:sz w:val="20"/>
          <w:szCs w:val="20"/>
        </w:rPr>
        <w:t>1.1 Résultat</w:t>
      </w:r>
    </w:p>
    <w:p w14:paraId="5C54E5CF" w14:textId="5A528032" w:rsidR="006672E2" w:rsidRPr="007B7FFA" w:rsidRDefault="006514DB" w:rsidP="007B7FFA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</w:rPr>
      </w:pPr>
      <w:r w:rsidRPr="007B7FFA">
        <w:rPr>
          <w:b/>
          <w:bCs/>
          <w:sz w:val="20"/>
          <w:szCs w:val="20"/>
        </w:rPr>
        <w:t xml:space="preserve">a) </w:t>
      </w:r>
      <w:r w:rsidR="006672E2" w:rsidRPr="007B7FFA">
        <w:rPr>
          <w:b/>
          <w:bCs/>
          <w:sz w:val="20"/>
          <w:szCs w:val="20"/>
        </w:rPr>
        <w:t xml:space="preserve">Résultats de fonctionnement pour l’année </w:t>
      </w:r>
      <w:r w:rsidR="00B54843">
        <w:rPr>
          <w:b/>
          <w:bCs/>
          <w:sz w:val="20"/>
          <w:szCs w:val="20"/>
        </w:rPr>
        <w:t>2025</w:t>
      </w:r>
    </w:p>
    <w:tbl>
      <w:tblPr>
        <w:tblStyle w:val="Grilledutableau"/>
        <w:tblpPr w:leftFromText="141" w:rightFromText="141" w:vertAnchor="text" w:tblpY="1"/>
        <w:tblOverlap w:val="never"/>
        <w:tblW w:w="6799" w:type="dxa"/>
        <w:tblLook w:val="04A0" w:firstRow="1" w:lastRow="0" w:firstColumn="1" w:lastColumn="0" w:noHBand="0" w:noVBand="1"/>
      </w:tblPr>
      <w:tblGrid>
        <w:gridCol w:w="4390"/>
        <w:gridCol w:w="299"/>
        <w:gridCol w:w="2110"/>
      </w:tblGrid>
      <w:tr w:rsidR="006672E2" w:rsidRPr="007B7FFA" w14:paraId="7364995C" w14:textId="77777777" w:rsidTr="00B54843">
        <w:trPr>
          <w:trHeight w:val="344"/>
        </w:trPr>
        <w:tc>
          <w:tcPr>
            <w:tcW w:w="4390" w:type="dxa"/>
            <w:tcBorders>
              <w:right w:val="single" w:sz="4" w:space="0" w:color="auto"/>
            </w:tcBorders>
          </w:tcPr>
          <w:p w14:paraId="40010F24" w14:textId="77777777" w:rsidR="006672E2" w:rsidRPr="007B7FFA" w:rsidRDefault="006672E2" w:rsidP="00B54843">
            <w:pPr>
              <w:jc w:val="both"/>
              <w:rPr>
                <w:sz w:val="20"/>
                <w:szCs w:val="20"/>
              </w:rPr>
            </w:pPr>
            <w:r w:rsidRPr="007B7FFA">
              <w:rPr>
                <w:sz w:val="20"/>
                <w:szCs w:val="20"/>
              </w:rPr>
              <w:t>Recettes de fonctionnement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AEA2DC" w14:textId="77777777" w:rsidR="006672E2" w:rsidRPr="007B7FFA" w:rsidRDefault="006672E2" w:rsidP="00B54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AA9009" w14:textId="6D81F6F8" w:rsidR="006672E2" w:rsidRPr="007B7FFA" w:rsidRDefault="00C51B27" w:rsidP="00B54843">
            <w:pPr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1</w:t>
            </w:r>
            <w:r w:rsidR="00B54843">
              <w:rPr>
                <w:i/>
                <w:iCs/>
                <w:color w:val="7030A0"/>
                <w:sz w:val="20"/>
                <w:szCs w:val="20"/>
              </w:rPr>
              <w:t> 200 198,53</w:t>
            </w:r>
            <w:r w:rsidR="00591645">
              <w:rPr>
                <w:i/>
                <w:iCs/>
                <w:color w:val="7030A0"/>
                <w:sz w:val="20"/>
                <w:szCs w:val="20"/>
              </w:rPr>
              <w:t xml:space="preserve"> €</w:t>
            </w:r>
          </w:p>
        </w:tc>
      </w:tr>
      <w:tr w:rsidR="006672E2" w:rsidRPr="007B7FFA" w14:paraId="7686C2FB" w14:textId="77777777" w:rsidTr="00B54843">
        <w:trPr>
          <w:trHeight w:val="420"/>
        </w:trPr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14:paraId="755C546E" w14:textId="77777777" w:rsidR="006672E2" w:rsidRPr="007B7FFA" w:rsidRDefault="006672E2" w:rsidP="00B54843">
            <w:pPr>
              <w:jc w:val="both"/>
              <w:rPr>
                <w:sz w:val="20"/>
                <w:szCs w:val="20"/>
              </w:rPr>
            </w:pPr>
            <w:r w:rsidRPr="007B7FFA">
              <w:rPr>
                <w:sz w:val="20"/>
                <w:szCs w:val="20"/>
              </w:rPr>
              <w:t>Dépenses de fonctionnement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200375" w14:textId="77777777" w:rsidR="006672E2" w:rsidRPr="007B7FFA" w:rsidRDefault="006672E2" w:rsidP="00B548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19750" w14:textId="10F720DF" w:rsidR="006672E2" w:rsidRPr="007B7FFA" w:rsidRDefault="00C51B27" w:rsidP="00B54843">
            <w:pPr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 xml:space="preserve">   </w:t>
            </w:r>
            <w:r w:rsidR="00B54843">
              <w:rPr>
                <w:i/>
                <w:iCs/>
                <w:color w:val="7030A0"/>
                <w:sz w:val="20"/>
                <w:szCs w:val="20"/>
              </w:rPr>
              <w:t>690 896,05</w:t>
            </w:r>
            <w:r w:rsidR="00591645">
              <w:rPr>
                <w:i/>
                <w:iCs/>
                <w:color w:val="7030A0"/>
                <w:sz w:val="20"/>
                <w:szCs w:val="20"/>
              </w:rPr>
              <w:t xml:space="preserve"> €</w:t>
            </w:r>
          </w:p>
        </w:tc>
      </w:tr>
      <w:tr w:rsidR="006672E2" w:rsidRPr="007B7FFA" w14:paraId="320C2134" w14:textId="77777777" w:rsidTr="00B54843">
        <w:trPr>
          <w:trHeight w:val="412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F1B" w14:textId="49827324" w:rsidR="006672E2" w:rsidRPr="007B7FFA" w:rsidRDefault="006672E2" w:rsidP="00B54843">
            <w:pPr>
              <w:jc w:val="both"/>
              <w:rPr>
                <w:sz w:val="20"/>
                <w:szCs w:val="20"/>
              </w:rPr>
            </w:pPr>
            <w:r w:rsidRPr="007B7FFA">
              <w:rPr>
                <w:sz w:val="20"/>
                <w:szCs w:val="20"/>
              </w:rPr>
              <w:t xml:space="preserve">Résultats de l’année </w:t>
            </w:r>
            <w:r w:rsidR="00B54843">
              <w:rPr>
                <w:sz w:val="20"/>
                <w:szCs w:val="20"/>
              </w:rPr>
              <w:t>2025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D1577" w14:textId="77777777" w:rsidR="006672E2" w:rsidRPr="007B7FFA" w:rsidRDefault="006672E2" w:rsidP="00B54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D5B15" w14:textId="4C2FF304" w:rsidR="006672E2" w:rsidRPr="007B7FFA" w:rsidRDefault="00B54843" w:rsidP="00B5484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 xml:space="preserve">  509 302,48</w:t>
            </w:r>
            <w:r w:rsidR="00591645">
              <w:rPr>
                <w:i/>
                <w:iCs/>
                <w:color w:val="7030A0"/>
                <w:sz w:val="20"/>
                <w:szCs w:val="20"/>
              </w:rPr>
              <w:t xml:space="preserve"> €</w:t>
            </w:r>
          </w:p>
        </w:tc>
      </w:tr>
      <w:tr w:rsidR="008376A3" w:rsidRPr="007B7FFA" w14:paraId="1BB639AD" w14:textId="77777777" w:rsidTr="00B54843">
        <w:trPr>
          <w:trHeight w:val="412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F1B" w14:textId="44DE87EC" w:rsidR="008376A3" w:rsidRPr="007B7FFA" w:rsidRDefault="008376A3" w:rsidP="00B54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Excédent reporté 2024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2A187" w14:textId="77777777" w:rsidR="008376A3" w:rsidRPr="007B7FFA" w:rsidRDefault="008376A3" w:rsidP="00B54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A644" w14:textId="39A4514F" w:rsidR="008376A3" w:rsidRDefault="008376A3" w:rsidP="00B54843">
            <w:pPr>
              <w:jc w:val="both"/>
              <w:rPr>
                <w:i/>
                <w:iCs/>
                <w:color w:val="7030A0"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2 333 933,91 €</w:t>
            </w:r>
          </w:p>
        </w:tc>
      </w:tr>
      <w:tr w:rsidR="008376A3" w:rsidRPr="007B7FFA" w14:paraId="3ED4C7DA" w14:textId="77777777" w:rsidTr="00B54843">
        <w:trPr>
          <w:trHeight w:val="412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A305" w14:textId="1E03E6E5" w:rsidR="008376A3" w:rsidRDefault="008376A3" w:rsidP="00B54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 de clôture 2025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2C0EC" w14:textId="77777777" w:rsidR="008376A3" w:rsidRPr="007B7FFA" w:rsidRDefault="008376A3" w:rsidP="00B548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FF55D" w14:textId="54A98A61" w:rsidR="008376A3" w:rsidRDefault="008376A3" w:rsidP="00B54843">
            <w:pPr>
              <w:jc w:val="both"/>
              <w:rPr>
                <w:i/>
                <w:iCs/>
                <w:color w:val="7030A0"/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2 843 236,39 €</w:t>
            </w:r>
          </w:p>
        </w:tc>
      </w:tr>
    </w:tbl>
    <w:p w14:paraId="166282F0" w14:textId="5B8741B5" w:rsidR="001A29F8" w:rsidRDefault="00B54843" w:rsidP="007B7FFA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textWrapping" w:clear="all"/>
      </w:r>
    </w:p>
    <w:p w14:paraId="5C45E9C2" w14:textId="77777777" w:rsidR="006514DB" w:rsidRPr="007B7FFA" w:rsidRDefault="006514DB" w:rsidP="00EB27B3">
      <w:pPr>
        <w:spacing w:after="0" w:line="240" w:lineRule="auto"/>
        <w:jc w:val="both"/>
        <w:rPr>
          <w:b/>
          <w:bCs/>
          <w:sz w:val="20"/>
          <w:szCs w:val="20"/>
        </w:rPr>
      </w:pPr>
      <w:r w:rsidRPr="007B7FFA">
        <w:rPr>
          <w:b/>
          <w:bCs/>
          <w:sz w:val="20"/>
          <w:szCs w:val="20"/>
        </w:rPr>
        <w:t>1.2 Analyse</w:t>
      </w:r>
    </w:p>
    <w:p w14:paraId="012596A4" w14:textId="77777777" w:rsidR="006514DB" w:rsidRPr="007B7FFA" w:rsidRDefault="006514DB" w:rsidP="006514DB">
      <w:pPr>
        <w:jc w:val="both"/>
        <w:rPr>
          <w:b/>
          <w:bCs/>
          <w:color w:val="7030A0"/>
          <w:sz w:val="20"/>
          <w:szCs w:val="20"/>
        </w:rPr>
      </w:pPr>
      <w:r w:rsidRPr="007B7FFA">
        <w:rPr>
          <w:b/>
          <w:bCs/>
          <w:color w:val="7030A0"/>
          <w:sz w:val="20"/>
          <w:szCs w:val="20"/>
        </w:rPr>
        <w:t>Les dépenses de fonctionnement :</w:t>
      </w:r>
    </w:p>
    <w:p w14:paraId="1A10B8EB" w14:textId="77777777" w:rsidR="006514DB" w:rsidRPr="007B7FFA" w:rsidRDefault="006514DB" w:rsidP="006514DB">
      <w:pPr>
        <w:jc w:val="both"/>
        <w:rPr>
          <w:sz w:val="20"/>
          <w:szCs w:val="20"/>
        </w:rPr>
      </w:pPr>
      <w:r w:rsidRPr="007B7FFA">
        <w:rPr>
          <w:sz w:val="20"/>
          <w:szCs w:val="20"/>
        </w:rPr>
        <w:t>Les dépenses de fonctionnement regroupent toutes les dépenses de gestion courante nécessaires au bon fonctionnement des divers services communaux notamment :</w:t>
      </w:r>
    </w:p>
    <w:p w14:paraId="0E92D0B7" w14:textId="77777777" w:rsidR="00353EB0" w:rsidRPr="007B7FFA" w:rsidRDefault="00B608FC" w:rsidP="00353EB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1) </w:t>
      </w:r>
      <w:r w:rsidR="006514DB" w:rsidRPr="007B7FFA">
        <w:rPr>
          <w:b/>
          <w:bCs/>
          <w:sz w:val="20"/>
          <w:szCs w:val="20"/>
          <w:u w:val="single"/>
        </w:rPr>
        <w:t>Les charges à caractère général (chapitre 011)</w:t>
      </w:r>
    </w:p>
    <w:p w14:paraId="315DA415" w14:textId="77777777" w:rsidR="00772ADB" w:rsidRPr="007B7FFA" w:rsidRDefault="00353EB0" w:rsidP="00CD3836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 xml:space="preserve">Ce chapitre contient toutes les dépenses relatives aux bâtiments communaux, </w:t>
      </w:r>
      <w:r w:rsidR="00EB552E">
        <w:rPr>
          <w:sz w:val="20"/>
          <w:szCs w:val="20"/>
        </w:rPr>
        <w:t xml:space="preserve">à </w:t>
      </w:r>
      <w:r w:rsidRPr="007B7FFA">
        <w:rPr>
          <w:sz w:val="20"/>
          <w:szCs w:val="20"/>
        </w:rPr>
        <w:t xml:space="preserve">l’énergie, </w:t>
      </w:r>
      <w:r w:rsidR="00EB552E">
        <w:rPr>
          <w:sz w:val="20"/>
          <w:szCs w:val="20"/>
        </w:rPr>
        <w:t xml:space="preserve">aux </w:t>
      </w:r>
      <w:r w:rsidRPr="007B7FFA">
        <w:rPr>
          <w:sz w:val="20"/>
          <w:szCs w:val="20"/>
        </w:rPr>
        <w:t xml:space="preserve">frais de communication, </w:t>
      </w:r>
      <w:r w:rsidR="00EB552E">
        <w:rPr>
          <w:sz w:val="20"/>
          <w:szCs w:val="20"/>
        </w:rPr>
        <w:t>aux</w:t>
      </w:r>
      <w:r w:rsidRPr="007B7FFA">
        <w:rPr>
          <w:sz w:val="20"/>
          <w:szCs w:val="20"/>
        </w:rPr>
        <w:t xml:space="preserve"> contrats de </w:t>
      </w:r>
      <w:r w:rsidR="00772ADB" w:rsidRPr="007B7FFA">
        <w:rPr>
          <w:sz w:val="20"/>
          <w:szCs w:val="20"/>
        </w:rPr>
        <w:t xml:space="preserve">maintenance et prestations de services, </w:t>
      </w:r>
      <w:r w:rsidR="00EB552E">
        <w:rPr>
          <w:sz w:val="20"/>
          <w:szCs w:val="20"/>
        </w:rPr>
        <w:t>aux</w:t>
      </w:r>
      <w:r w:rsidR="00772ADB" w:rsidRPr="007B7FFA">
        <w:rPr>
          <w:sz w:val="20"/>
          <w:szCs w:val="20"/>
        </w:rPr>
        <w:t xml:space="preserve"> assurances, </w:t>
      </w:r>
      <w:r w:rsidR="00EB552E">
        <w:rPr>
          <w:sz w:val="20"/>
          <w:szCs w:val="20"/>
        </w:rPr>
        <w:t>aux</w:t>
      </w:r>
      <w:r w:rsidR="00772ADB" w:rsidRPr="007B7FFA">
        <w:rPr>
          <w:sz w:val="20"/>
          <w:szCs w:val="20"/>
        </w:rPr>
        <w:t xml:space="preserve"> achats de petits matériels et d’entretien courant, </w:t>
      </w:r>
      <w:r w:rsidR="00EB552E">
        <w:rPr>
          <w:sz w:val="20"/>
          <w:szCs w:val="20"/>
        </w:rPr>
        <w:t xml:space="preserve">aux </w:t>
      </w:r>
      <w:r w:rsidR="00772ADB" w:rsidRPr="007B7FFA">
        <w:rPr>
          <w:sz w:val="20"/>
          <w:szCs w:val="20"/>
        </w:rPr>
        <w:t xml:space="preserve">fournitures administratives et scolaires, </w:t>
      </w:r>
      <w:r w:rsidR="00EB552E">
        <w:rPr>
          <w:sz w:val="20"/>
          <w:szCs w:val="20"/>
        </w:rPr>
        <w:t>aux</w:t>
      </w:r>
      <w:r w:rsidR="00772ADB" w:rsidRPr="007B7FFA">
        <w:rPr>
          <w:sz w:val="20"/>
          <w:szCs w:val="20"/>
        </w:rPr>
        <w:t xml:space="preserve"> fêtes et cérémonies, </w:t>
      </w:r>
      <w:r w:rsidR="00EB552E">
        <w:rPr>
          <w:sz w:val="20"/>
          <w:szCs w:val="20"/>
        </w:rPr>
        <w:t xml:space="preserve">à </w:t>
      </w:r>
      <w:r w:rsidR="00772ADB" w:rsidRPr="007B7FFA">
        <w:rPr>
          <w:sz w:val="20"/>
          <w:szCs w:val="20"/>
        </w:rPr>
        <w:t xml:space="preserve">l’impression du bulletin municipal, </w:t>
      </w:r>
      <w:r w:rsidR="00EB552E">
        <w:rPr>
          <w:sz w:val="20"/>
          <w:szCs w:val="20"/>
        </w:rPr>
        <w:t xml:space="preserve">aux </w:t>
      </w:r>
      <w:r w:rsidR="00772ADB" w:rsidRPr="007B7FFA">
        <w:rPr>
          <w:sz w:val="20"/>
          <w:szCs w:val="20"/>
        </w:rPr>
        <w:t>taxes foncières payées par la commune, …</w:t>
      </w:r>
    </w:p>
    <w:p w14:paraId="706C802C" w14:textId="11C16D23" w:rsidR="00CD3836" w:rsidRDefault="00772ADB" w:rsidP="00CD3836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 xml:space="preserve">Pour </w:t>
      </w:r>
      <w:r w:rsidR="00B54843">
        <w:rPr>
          <w:sz w:val="20"/>
          <w:szCs w:val="20"/>
        </w:rPr>
        <w:t>2025</w:t>
      </w:r>
      <w:r w:rsidRPr="007B7FFA">
        <w:rPr>
          <w:sz w:val="20"/>
          <w:szCs w:val="20"/>
        </w:rPr>
        <w:t xml:space="preserve">, </w:t>
      </w:r>
      <w:r w:rsidR="00A21241" w:rsidRPr="007B7FFA">
        <w:rPr>
          <w:sz w:val="20"/>
          <w:szCs w:val="20"/>
        </w:rPr>
        <w:t>les dépenses au sein de ce chapitre</w:t>
      </w:r>
      <w:r w:rsidRPr="007B7FFA">
        <w:rPr>
          <w:sz w:val="20"/>
          <w:szCs w:val="20"/>
        </w:rPr>
        <w:t xml:space="preserve"> s’élèvent à </w:t>
      </w:r>
      <w:bookmarkStart w:id="0" w:name="_Hlk96347350"/>
      <w:r w:rsidR="008376A3">
        <w:rPr>
          <w:sz w:val="20"/>
          <w:szCs w:val="20"/>
        </w:rPr>
        <w:t>235 099,16</w:t>
      </w:r>
      <w:r w:rsidR="00591645">
        <w:rPr>
          <w:sz w:val="20"/>
          <w:szCs w:val="20"/>
        </w:rPr>
        <w:t xml:space="preserve"> €</w:t>
      </w:r>
      <w:bookmarkEnd w:id="0"/>
      <w:r w:rsidRPr="00EB552E">
        <w:rPr>
          <w:b/>
          <w:bCs/>
          <w:sz w:val="20"/>
          <w:szCs w:val="20"/>
        </w:rPr>
        <w:t>.</w:t>
      </w:r>
      <w:r w:rsidR="00A23582">
        <w:rPr>
          <w:b/>
          <w:bCs/>
          <w:sz w:val="20"/>
          <w:szCs w:val="20"/>
        </w:rPr>
        <w:t xml:space="preserve"> </w:t>
      </w:r>
      <w:r w:rsidRPr="007B7FFA">
        <w:rPr>
          <w:sz w:val="20"/>
          <w:szCs w:val="20"/>
        </w:rPr>
        <w:t xml:space="preserve">On observe </w:t>
      </w:r>
      <w:r w:rsidR="00A21241" w:rsidRPr="007B7FFA">
        <w:rPr>
          <w:sz w:val="20"/>
          <w:szCs w:val="20"/>
        </w:rPr>
        <w:t xml:space="preserve">toutefois </w:t>
      </w:r>
      <w:r w:rsidRPr="007B7FFA">
        <w:rPr>
          <w:sz w:val="20"/>
          <w:szCs w:val="20"/>
        </w:rPr>
        <w:t>un écart par rapport à nos prévisions</w:t>
      </w:r>
      <w:r w:rsidR="00591645">
        <w:rPr>
          <w:sz w:val="20"/>
          <w:szCs w:val="20"/>
        </w:rPr>
        <w:t xml:space="preserve"> </w:t>
      </w:r>
      <w:r w:rsidR="00EB552E">
        <w:rPr>
          <w:sz w:val="20"/>
          <w:szCs w:val="20"/>
        </w:rPr>
        <w:t>de</w:t>
      </w:r>
      <w:r w:rsidR="00591645">
        <w:rPr>
          <w:sz w:val="20"/>
          <w:szCs w:val="20"/>
        </w:rPr>
        <w:t xml:space="preserve"> </w:t>
      </w:r>
      <w:r w:rsidR="00C51B27">
        <w:rPr>
          <w:sz w:val="20"/>
          <w:szCs w:val="20"/>
        </w:rPr>
        <w:t>3</w:t>
      </w:r>
      <w:r w:rsidR="008376A3">
        <w:rPr>
          <w:sz w:val="20"/>
          <w:szCs w:val="20"/>
        </w:rPr>
        <w:t>14 400,</w:t>
      </w:r>
      <w:r w:rsidR="00C51B27">
        <w:rPr>
          <w:sz w:val="20"/>
          <w:szCs w:val="20"/>
        </w:rPr>
        <w:t>00</w:t>
      </w:r>
      <w:r w:rsidR="00735687">
        <w:rPr>
          <w:sz w:val="20"/>
          <w:szCs w:val="20"/>
        </w:rPr>
        <w:t xml:space="preserve"> €</w:t>
      </w:r>
      <w:r w:rsidR="00D07ADB">
        <w:rPr>
          <w:sz w:val="20"/>
          <w:szCs w:val="20"/>
        </w:rPr>
        <w:t xml:space="preserve"> </w:t>
      </w:r>
      <w:r w:rsidRPr="007B7FFA">
        <w:rPr>
          <w:sz w:val="20"/>
          <w:szCs w:val="20"/>
        </w:rPr>
        <w:t>: baisse de</w:t>
      </w:r>
      <w:r w:rsidR="00977A78" w:rsidRPr="007B7FFA">
        <w:rPr>
          <w:sz w:val="20"/>
          <w:szCs w:val="20"/>
        </w:rPr>
        <w:t xml:space="preserve"> certaines charges</w:t>
      </w:r>
      <w:r w:rsidR="00591645">
        <w:rPr>
          <w:sz w:val="20"/>
          <w:szCs w:val="20"/>
        </w:rPr>
        <w:t> : eau, combustible, moins de travaux d’entretien</w:t>
      </w:r>
      <w:r w:rsidR="008376A3">
        <w:rPr>
          <w:sz w:val="20"/>
          <w:szCs w:val="20"/>
        </w:rPr>
        <w:t xml:space="preserve"> (615228</w:t>
      </w:r>
      <w:proofErr w:type="gramStart"/>
      <w:r w:rsidR="008376A3">
        <w:rPr>
          <w:sz w:val="20"/>
          <w:szCs w:val="20"/>
        </w:rPr>
        <w:t>)</w:t>
      </w:r>
      <w:r w:rsidR="00591645">
        <w:rPr>
          <w:sz w:val="20"/>
          <w:szCs w:val="20"/>
        </w:rPr>
        <w:t>,…</w:t>
      </w:r>
      <w:proofErr w:type="gramEnd"/>
      <w:r w:rsidR="00591645">
        <w:rPr>
          <w:sz w:val="20"/>
          <w:szCs w:val="20"/>
        </w:rPr>
        <w:t xml:space="preserve"> et hausse de certaines dépenses : </w:t>
      </w:r>
      <w:r w:rsidR="00C51B27">
        <w:rPr>
          <w:sz w:val="20"/>
          <w:szCs w:val="20"/>
        </w:rPr>
        <w:t>énergie</w:t>
      </w:r>
      <w:r w:rsidR="00591645">
        <w:rPr>
          <w:sz w:val="20"/>
          <w:szCs w:val="20"/>
        </w:rPr>
        <w:t xml:space="preserve">, entretien </w:t>
      </w:r>
      <w:r w:rsidR="008376A3">
        <w:rPr>
          <w:sz w:val="20"/>
          <w:szCs w:val="20"/>
        </w:rPr>
        <w:t xml:space="preserve">bâtiments </w:t>
      </w:r>
      <w:proofErr w:type="gramStart"/>
      <w:r w:rsidR="008376A3">
        <w:rPr>
          <w:sz w:val="20"/>
          <w:szCs w:val="20"/>
        </w:rPr>
        <w:t>publics</w:t>
      </w:r>
      <w:r w:rsidR="00591645">
        <w:rPr>
          <w:sz w:val="20"/>
          <w:szCs w:val="20"/>
        </w:rPr>
        <w:t>,…</w:t>
      </w:r>
      <w:proofErr w:type="gramEnd"/>
      <w:r w:rsidR="00591645">
        <w:rPr>
          <w:sz w:val="20"/>
          <w:szCs w:val="20"/>
        </w:rPr>
        <w:t xml:space="preserve"> </w:t>
      </w:r>
    </w:p>
    <w:p w14:paraId="0D7E0592" w14:textId="77777777" w:rsidR="00591645" w:rsidRDefault="00591645" w:rsidP="00CD3836">
      <w:pPr>
        <w:spacing w:after="0" w:line="240" w:lineRule="auto"/>
        <w:jc w:val="both"/>
        <w:rPr>
          <w:sz w:val="20"/>
          <w:szCs w:val="20"/>
        </w:rPr>
      </w:pPr>
    </w:p>
    <w:p w14:paraId="2A27BC22" w14:textId="77777777" w:rsidR="008376A3" w:rsidRDefault="008376A3" w:rsidP="00CD3836">
      <w:pPr>
        <w:spacing w:after="0" w:line="240" w:lineRule="auto"/>
        <w:jc w:val="both"/>
        <w:rPr>
          <w:sz w:val="20"/>
          <w:szCs w:val="20"/>
        </w:rPr>
      </w:pPr>
    </w:p>
    <w:p w14:paraId="49959CBD" w14:textId="77777777" w:rsidR="008376A3" w:rsidRDefault="008376A3" w:rsidP="00CD3836">
      <w:pPr>
        <w:spacing w:after="0" w:line="240" w:lineRule="auto"/>
        <w:jc w:val="both"/>
        <w:rPr>
          <w:sz w:val="20"/>
          <w:szCs w:val="20"/>
        </w:rPr>
      </w:pPr>
    </w:p>
    <w:p w14:paraId="31DF1397" w14:textId="77777777" w:rsidR="008376A3" w:rsidRDefault="008376A3" w:rsidP="00CD3836">
      <w:pPr>
        <w:spacing w:after="0" w:line="240" w:lineRule="auto"/>
        <w:jc w:val="both"/>
        <w:rPr>
          <w:sz w:val="20"/>
          <w:szCs w:val="20"/>
        </w:rPr>
      </w:pPr>
    </w:p>
    <w:p w14:paraId="3FF50B1D" w14:textId="77777777" w:rsidR="008376A3" w:rsidRPr="007B7FFA" w:rsidRDefault="008376A3" w:rsidP="00CD3836">
      <w:pPr>
        <w:spacing w:after="0" w:line="240" w:lineRule="auto"/>
        <w:jc w:val="both"/>
        <w:rPr>
          <w:sz w:val="20"/>
          <w:szCs w:val="20"/>
        </w:rPr>
      </w:pPr>
    </w:p>
    <w:p w14:paraId="36A86B5C" w14:textId="77777777" w:rsidR="009766E5" w:rsidRPr="007B7FFA" w:rsidRDefault="00B608FC" w:rsidP="00A2124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2) </w:t>
      </w:r>
      <w:r w:rsidR="00977A78" w:rsidRPr="007B7FFA">
        <w:rPr>
          <w:b/>
          <w:bCs/>
          <w:sz w:val="20"/>
          <w:szCs w:val="20"/>
          <w:u w:val="single"/>
        </w:rPr>
        <w:t xml:space="preserve">Les dépenses de personnel </w:t>
      </w:r>
      <w:r w:rsidR="009766E5" w:rsidRPr="007B7FFA">
        <w:rPr>
          <w:b/>
          <w:bCs/>
          <w:sz w:val="20"/>
          <w:szCs w:val="20"/>
          <w:u w:val="single"/>
        </w:rPr>
        <w:t>(chapitre 012)</w:t>
      </w:r>
    </w:p>
    <w:p w14:paraId="762B8089" w14:textId="21AE7471" w:rsidR="009766E5" w:rsidRDefault="009766E5" w:rsidP="00A21241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>Ces dépenses s’élèvent à</w:t>
      </w:r>
      <w:r w:rsidR="00591645">
        <w:rPr>
          <w:sz w:val="20"/>
          <w:szCs w:val="20"/>
        </w:rPr>
        <w:t xml:space="preserve"> </w:t>
      </w:r>
      <w:r w:rsidR="001F6641">
        <w:rPr>
          <w:sz w:val="20"/>
          <w:szCs w:val="20"/>
        </w:rPr>
        <w:t>249 246,67</w:t>
      </w:r>
      <w:r w:rsidR="00591645">
        <w:rPr>
          <w:sz w:val="20"/>
          <w:szCs w:val="20"/>
        </w:rPr>
        <w:t xml:space="preserve"> €</w:t>
      </w:r>
      <w:r w:rsidR="00CD3836" w:rsidRPr="007B7FFA">
        <w:rPr>
          <w:sz w:val="20"/>
          <w:szCs w:val="20"/>
        </w:rPr>
        <w:t xml:space="preserve"> pour l’année </w:t>
      </w:r>
      <w:r w:rsidR="00B54843">
        <w:rPr>
          <w:sz w:val="20"/>
          <w:szCs w:val="20"/>
        </w:rPr>
        <w:t>2025</w:t>
      </w:r>
      <w:r w:rsidR="00CD3836" w:rsidRPr="007B7FFA">
        <w:rPr>
          <w:sz w:val="20"/>
          <w:szCs w:val="20"/>
        </w:rPr>
        <w:t>. Elles étaient de</w:t>
      </w:r>
      <w:r w:rsidR="001F6641">
        <w:rPr>
          <w:sz w:val="20"/>
          <w:szCs w:val="20"/>
        </w:rPr>
        <w:t xml:space="preserve"> </w:t>
      </w:r>
      <w:r w:rsidR="001F6641">
        <w:rPr>
          <w:sz w:val="20"/>
          <w:szCs w:val="20"/>
        </w:rPr>
        <w:t xml:space="preserve">245 487,11 </w:t>
      </w:r>
      <w:r w:rsidR="001F6641">
        <w:rPr>
          <w:sz w:val="20"/>
          <w:szCs w:val="20"/>
        </w:rPr>
        <w:t xml:space="preserve">en 2024 et de </w:t>
      </w:r>
      <w:r w:rsidR="00C51B27">
        <w:rPr>
          <w:sz w:val="20"/>
          <w:szCs w:val="20"/>
        </w:rPr>
        <w:t xml:space="preserve">229 819,34 </w:t>
      </w:r>
      <w:r w:rsidR="00CD3836" w:rsidRPr="007B7FFA">
        <w:rPr>
          <w:sz w:val="20"/>
          <w:szCs w:val="20"/>
        </w:rPr>
        <w:t>€ en 20</w:t>
      </w:r>
      <w:r w:rsidR="00EB27B3">
        <w:rPr>
          <w:sz w:val="20"/>
          <w:szCs w:val="20"/>
        </w:rPr>
        <w:t>2</w:t>
      </w:r>
      <w:r w:rsidR="00C51B27">
        <w:rPr>
          <w:sz w:val="20"/>
          <w:szCs w:val="20"/>
        </w:rPr>
        <w:t>3</w:t>
      </w:r>
      <w:r w:rsidR="00D07ADB">
        <w:rPr>
          <w:sz w:val="20"/>
          <w:szCs w:val="20"/>
        </w:rPr>
        <w:t>.</w:t>
      </w:r>
    </w:p>
    <w:p w14:paraId="0B3BC019" w14:textId="77777777" w:rsidR="00E01DD3" w:rsidRDefault="00E01DD3" w:rsidP="00A21241">
      <w:pPr>
        <w:spacing w:after="0" w:line="240" w:lineRule="auto"/>
        <w:jc w:val="both"/>
        <w:rPr>
          <w:sz w:val="20"/>
          <w:szCs w:val="20"/>
        </w:rPr>
      </w:pPr>
    </w:p>
    <w:p w14:paraId="0E023D06" w14:textId="06EBC68E" w:rsidR="00E01DD3" w:rsidRPr="007B7FFA" w:rsidRDefault="00E01DD3" w:rsidP="00A2124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4D3936D" w14:textId="72265450" w:rsidR="00E01DD3" w:rsidRDefault="00E01DD3" w:rsidP="00E01DD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3</w:t>
      </w:r>
      <w:r>
        <w:rPr>
          <w:b/>
          <w:bCs/>
          <w:sz w:val="20"/>
          <w:szCs w:val="20"/>
          <w:u w:val="single"/>
        </w:rPr>
        <w:t xml:space="preserve">) </w:t>
      </w:r>
      <w:r>
        <w:rPr>
          <w:b/>
          <w:bCs/>
          <w:sz w:val="20"/>
          <w:szCs w:val="20"/>
          <w:u w:val="single"/>
        </w:rPr>
        <w:t>Atténuations de charges (chapitre 014)</w:t>
      </w:r>
    </w:p>
    <w:p w14:paraId="41E8D309" w14:textId="14C2CAA8" w:rsidR="00E01DD3" w:rsidRPr="00E01DD3" w:rsidRDefault="00E01DD3" w:rsidP="00E01DD3">
      <w:pPr>
        <w:spacing w:after="0" w:line="240" w:lineRule="auto"/>
        <w:jc w:val="both"/>
        <w:rPr>
          <w:sz w:val="20"/>
          <w:szCs w:val="20"/>
        </w:rPr>
      </w:pPr>
      <w:r w:rsidRPr="00E01DD3">
        <w:rPr>
          <w:sz w:val="20"/>
          <w:szCs w:val="20"/>
        </w:rPr>
        <w:t>Ce chapitre comprend</w:t>
      </w:r>
      <w:r>
        <w:rPr>
          <w:sz w:val="20"/>
          <w:szCs w:val="20"/>
        </w:rPr>
        <w:t xml:space="preserve"> le FPIC</w:t>
      </w:r>
      <w:r w:rsidR="0086333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63335">
        <w:rPr>
          <w:sz w:val="20"/>
          <w:szCs w:val="20"/>
        </w:rPr>
        <w:t xml:space="preserve">fonds prélevé sur les communes ayant de fortes ressources pour être redistribué aux autres communes </w:t>
      </w:r>
      <w:r>
        <w:rPr>
          <w:sz w:val="20"/>
          <w:szCs w:val="20"/>
        </w:rPr>
        <w:t xml:space="preserve">et le DILICO, </w:t>
      </w:r>
      <w:r w:rsidR="00863335">
        <w:rPr>
          <w:sz w:val="20"/>
          <w:szCs w:val="20"/>
        </w:rPr>
        <w:t>dispositif créé pour aider au redressement des finances publiques</w:t>
      </w:r>
      <w:r w:rsidR="00E44B53">
        <w:rPr>
          <w:sz w:val="20"/>
          <w:szCs w:val="20"/>
        </w:rPr>
        <w:t>, pour un montant de 17 524,00 €.</w:t>
      </w:r>
    </w:p>
    <w:p w14:paraId="7DEEF8FC" w14:textId="77777777" w:rsidR="00CD3836" w:rsidRPr="007B7FFA" w:rsidRDefault="00CD3836" w:rsidP="00A21241">
      <w:pPr>
        <w:spacing w:after="0" w:line="240" w:lineRule="auto"/>
        <w:jc w:val="both"/>
        <w:rPr>
          <w:sz w:val="20"/>
          <w:szCs w:val="20"/>
        </w:rPr>
      </w:pPr>
    </w:p>
    <w:p w14:paraId="53D2C711" w14:textId="27881D31" w:rsidR="00510CEE" w:rsidRPr="007B7FFA" w:rsidRDefault="00E01DD3" w:rsidP="00510CE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4</w:t>
      </w:r>
      <w:r w:rsidR="00B608FC">
        <w:rPr>
          <w:b/>
          <w:bCs/>
          <w:sz w:val="20"/>
          <w:szCs w:val="20"/>
          <w:u w:val="single"/>
        </w:rPr>
        <w:t xml:space="preserve">) </w:t>
      </w:r>
      <w:r w:rsidR="00510CEE" w:rsidRPr="007B7FFA">
        <w:rPr>
          <w:b/>
          <w:bCs/>
          <w:sz w:val="20"/>
          <w:szCs w:val="20"/>
          <w:u w:val="single"/>
        </w:rPr>
        <w:t>Les charges de gestion courante (</w:t>
      </w:r>
      <w:r w:rsidR="00A441A2" w:rsidRPr="007B7FFA">
        <w:rPr>
          <w:b/>
          <w:bCs/>
          <w:sz w:val="20"/>
          <w:szCs w:val="20"/>
          <w:u w:val="single"/>
        </w:rPr>
        <w:t xml:space="preserve">chapitre </w:t>
      </w:r>
      <w:r w:rsidR="00510CEE" w:rsidRPr="007B7FFA">
        <w:rPr>
          <w:b/>
          <w:bCs/>
          <w:sz w:val="20"/>
          <w:szCs w:val="20"/>
          <w:u w:val="single"/>
        </w:rPr>
        <w:t>65)</w:t>
      </w:r>
    </w:p>
    <w:p w14:paraId="582BCA31" w14:textId="32D0DC4B" w:rsidR="006514DB" w:rsidRPr="007B7FFA" w:rsidRDefault="00510CEE" w:rsidP="009766E5">
      <w:pPr>
        <w:jc w:val="both"/>
        <w:rPr>
          <w:sz w:val="20"/>
          <w:szCs w:val="20"/>
        </w:rPr>
      </w:pPr>
      <w:r w:rsidRPr="007B7FFA">
        <w:rPr>
          <w:sz w:val="20"/>
          <w:szCs w:val="20"/>
        </w:rPr>
        <w:t>Ce chapitre regroupe les indemnités des élus, les subventions versées aux associations, les frais de contingents incendie et les participations aux organismes extérieurs (</w:t>
      </w:r>
      <w:r w:rsidR="00545D56">
        <w:rPr>
          <w:sz w:val="20"/>
          <w:szCs w:val="20"/>
        </w:rPr>
        <w:t>s</w:t>
      </w:r>
      <w:r w:rsidR="00EB27B3">
        <w:rPr>
          <w:sz w:val="20"/>
          <w:szCs w:val="20"/>
        </w:rPr>
        <w:t>yndicat</w:t>
      </w:r>
      <w:r w:rsidR="002F6DD7">
        <w:rPr>
          <w:sz w:val="20"/>
          <w:szCs w:val="20"/>
        </w:rPr>
        <w:t>s</w:t>
      </w:r>
      <w:r w:rsidR="00EB27B3">
        <w:rPr>
          <w:sz w:val="20"/>
          <w:szCs w:val="20"/>
        </w:rPr>
        <w:t xml:space="preserve"> intercommunaux</w:t>
      </w:r>
      <w:r w:rsidRPr="007B7FFA">
        <w:rPr>
          <w:sz w:val="20"/>
          <w:szCs w:val="20"/>
        </w:rPr>
        <w:t xml:space="preserve">). Ces charges s’élèvent à </w:t>
      </w:r>
      <w:r w:rsidR="00591645">
        <w:rPr>
          <w:sz w:val="20"/>
          <w:szCs w:val="20"/>
        </w:rPr>
        <w:t>11</w:t>
      </w:r>
      <w:r w:rsidR="001F6641">
        <w:rPr>
          <w:sz w:val="20"/>
          <w:szCs w:val="20"/>
        </w:rPr>
        <w:t>7 517,58</w:t>
      </w:r>
      <w:r w:rsidR="00591645">
        <w:rPr>
          <w:sz w:val="20"/>
          <w:szCs w:val="20"/>
        </w:rPr>
        <w:t xml:space="preserve"> €</w:t>
      </w:r>
      <w:r w:rsidRPr="007B7FFA">
        <w:rPr>
          <w:sz w:val="20"/>
          <w:szCs w:val="20"/>
        </w:rPr>
        <w:t>.</w:t>
      </w:r>
    </w:p>
    <w:p w14:paraId="22F88CAC" w14:textId="7AA8E861" w:rsidR="00591645" w:rsidRDefault="00D07ADB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sz w:val="20"/>
          <w:szCs w:val="20"/>
        </w:rPr>
        <w:t xml:space="preserve">En </w:t>
      </w:r>
      <w:r w:rsidR="00B54843">
        <w:rPr>
          <w:sz w:val="20"/>
          <w:szCs w:val="20"/>
        </w:rPr>
        <w:t>2025</w:t>
      </w:r>
      <w:r>
        <w:rPr>
          <w:sz w:val="20"/>
          <w:szCs w:val="20"/>
        </w:rPr>
        <w:t>, l</w:t>
      </w:r>
      <w:r w:rsidR="00510CEE" w:rsidRPr="009164EB">
        <w:rPr>
          <w:sz w:val="20"/>
          <w:szCs w:val="20"/>
        </w:rPr>
        <w:t xml:space="preserve">es subventions aux associations </w:t>
      </w:r>
      <w:r w:rsidR="009164EB">
        <w:rPr>
          <w:sz w:val="20"/>
          <w:szCs w:val="20"/>
        </w:rPr>
        <w:t>(6574</w:t>
      </w:r>
      <w:r w:rsidR="006629B2">
        <w:rPr>
          <w:sz w:val="20"/>
          <w:szCs w:val="20"/>
        </w:rPr>
        <w:t>8</w:t>
      </w:r>
      <w:r w:rsidR="009164EB">
        <w:rPr>
          <w:sz w:val="20"/>
          <w:szCs w:val="20"/>
        </w:rPr>
        <w:t xml:space="preserve">) </w:t>
      </w:r>
      <w:r w:rsidR="00C554AA" w:rsidRPr="009164EB">
        <w:rPr>
          <w:sz w:val="20"/>
          <w:szCs w:val="20"/>
        </w:rPr>
        <w:t xml:space="preserve">ont été attribuées pour </w:t>
      </w:r>
      <w:r w:rsidR="00510CEE" w:rsidRPr="009164EB">
        <w:rPr>
          <w:sz w:val="20"/>
          <w:szCs w:val="20"/>
        </w:rPr>
        <w:t>un montant de</w:t>
      </w:r>
      <w:r w:rsidR="00591645">
        <w:rPr>
          <w:sz w:val="20"/>
          <w:szCs w:val="20"/>
        </w:rPr>
        <w:t xml:space="preserve"> </w:t>
      </w:r>
      <w:r w:rsidR="00863335">
        <w:rPr>
          <w:sz w:val="20"/>
          <w:szCs w:val="20"/>
        </w:rPr>
        <w:t>4 546,00</w:t>
      </w:r>
      <w:r w:rsidR="00591645">
        <w:rPr>
          <w:sz w:val="20"/>
          <w:szCs w:val="20"/>
        </w:rPr>
        <w:t xml:space="preserve"> €</w:t>
      </w:r>
      <w:r w:rsidR="009164EB">
        <w:rPr>
          <w:sz w:val="20"/>
          <w:szCs w:val="20"/>
        </w:rPr>
        <w:t> à :</w:t>
      </w:r>
      <w:r w:rsidR="00EB27B3" w:rsidRPr="00EB27B3">
        <w:rPr>
          <w:i/>
          <w:iCs/>
          <w:color w:val="7030A0"/>
          <w:sz w:val="20"/>
          <w:szCs w:val="20"/>
        </w:rPr>
        <w:t xml:space="preserve"> </w:t>
      </w:r>
    </w:p>
    <w:p w14:paraId="34397847" w14:textId="77777777" w:rsidR="00591645" w:rsidRDefault="00591645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</w:p>
    <w:p w14:paraId="6D7FCD20" w14:textId="22F1BB9D" w:rsidR="00591645" w:rsidRDefault="00591645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 xml:space="preserve">ADMR 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 w:rsidR="006629B2"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>2</w:t>
      </w:r>
      <w:r w:rsidR="00655C4F">
        <w:rPr>
          <w:i/>
          <w:iCs/>
          <w:color w:val="7030A0"/>
          <w:sz w:val="20"/>
          <w:szCs w:val="20"/>
        </w:rPr>
        <w:t>0</w:t>
      </w:r>
      <w:r>
        <w:rPr>
          <w:i/>
          <w:iCs/>
          <w:color w:val="7030A0"/>
          <w:sz w:val="20"/>
          <w:szCs w:val="20"/>
        </w:rPr>
        <w:t>0 €</w:t>
      </w:r>
    </w:p>
    <w:p w14:paraId="70A1570F" w14:textId="2EB740E4" w:rsidR="006629B2" w:rsidRDefault="006629B2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A.S.P.B.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 xml:space="preserve">  50 €</w:t>
      </w:r>
    </w:p>
    <w:p w14:paraId="5A62572D" w14:textId="47412FE9" w:rsidR="00591645" w:rsidRDefault="00591645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 xml:space="preserve">AFR GYE 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 w:rsidR="006629B2"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>600 €</w:t>
      </w:r>
    </w:p>
    <w:p w14:paraId="5DB0E97C" w14:textId="2AD7E99E" w:rsidR="006629B2" w:rsidRDefault="006629B2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Amicale des Pêcheurs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  <w:t>200 €</w:t>
      </w:r>
    </w:p>
    <w:p w14:paraId="4FEB4237" w14:textId="382A226C" w:rsidR="006629B2" w:rsidRDefault="006629B2" w:rsidP="006629B2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Amicale des Sapeurs-Pompiers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>468 €</w:t>
      </w:r>
    </w:p>
    <w:p w14:paraId="2BED7697" w14:textId="03C9B63C" w:rsidR="006629B2" w:rsidRDefault="006629B2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Association COPPELIA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proofErr w:type="gramStart"/>
      <w:r>
        <w:rPr>
          <w:i/>
          <w:iCs/>
          <w:color w:val="7030A0"/>
          <w:sz w:val="20"/>
          <w:szCs w:val="20"/>
        </w:rPr>
        <w:tab/>
        <w:t xml:space="preserve">  </w:t>
      </w:r>
      <w:r w:rsidR="00DF6E8C">
        <w:rPr>
          <w:i/>
          <w:iCs/>
          <w:color w:val="7030A0"/>
          <w:sz w:val="20"/>
          <w:szCs w:val="20"/>
        </w:rPr>
        <w:tab/>
      </w:r>
      <w:proofErr w:type="gramEnd"/>
      <w:r w:rsidR="00DF6E8C">
        <w:rPr>
          <w:i/>
          <w:iCs/>
          <w:color w:val="7030A0"/>
          <w:sz w:val="20"/>
          <w:szCs w:val="20"/>
        </w:rPr>
        <w:t xml:space="preserve">  </w:t>
      </w:r>
      <w:r>
        <w:rPr>
          <w:i/>
          <w:iCs/>
          <w:color w:val="7030A0"/>
          <w:sz w:val="20"/>
          <w:szCs w:val="20"/>
        </w:rPr>
        <w:t>50 €</w:t>
      </w:r>
    </w:p>
    <w:p w14:paraId="09B745B3" w14:textId="6C60C228" w:rsidR="00591645" w:rsidRDefault="00591645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Danse pour L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 w:rsidR="006629B2"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 w:rsidR="00571704">
        <w:rPr>
          <w:i/>
          <w:iCs/>
          <w:color w:val="7030A0"/>
          <w:sz w:val="20"/>
          <w:szCs w:val="20"/>
        </w:rPr>
        <w:t>100</w:t>
      </w:r>
      <w:r>
        <w:rPr>
          <w:i/>
          <w:iCs/>
          <w:color w:val="7030A0"/>
          <w:sz w:val="20"/>
          <w:szCs w:val="20"/>
        </w:rPr>
        <w:t xml:space="preserve"> €</w:t>
      </w:r>
    </w:p>
    <w:p w14:paraId="2F93871E" w14:textId="570578BC" w:rsidR="006629B2" w:rsidRDefault="006629B2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Association des cadoles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  <w:t xml:space="preserve">    </w:t>
      </w:r>
      <w:r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 xml:space="preserve">100 € </w:t>
      </w:r>
    </w:p>
    <w:p w14:paraId="0F8AD3A2" w14:textId="782BD475" w:rsidR="006629B2" w:rsidRDefault="006629B2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Handisport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proofErr w:type="gramStart"/>
      <w:r>
        <w:rPr>
          <w:i/>
          <w:iCs/>
          <w:color w:val="7030A0"/>
          <w:sz w:val="20"/>
          <w:szCs w:val="20"/>
        </w:rPr>
        <w:tab/>
        <w:t xml:space="preserve">  </w:t>
      </w:r>
      <w:r w:rsidR="00DF6E8C">
        <w:rPr>
          <w:i/>
          <w:iCs/>
          <w:color w:val="7030A0"/>
          <w:sz w:val="20"/>
          <w:szCs w:val="20"/>
        </w:rPr>
        <w:tab/>
      </w:r>
      <w:proofErr w:type="gramEnd"/>
      <w:r w:rsidR="00DF6E8C">
        <w:rPr>
          <w:i/>
          <w:iCs/>
          <w:color w:val="7030A0"/>
          <w:sz w:val="20"/>
          <w:szCs w:val="20"/>
        </w:rPr>
        <w:t xml:space="preserve">  </w:t>
      </w:r>
      <w:r>
        <w:rPr>
          <w:i/>
          <w:iCs/>
          <w:color w:val="7030A0"/>
          <w:sz w:val="20"/>
          <w:szCs w:val="20"/>
        </w:rPr>
        <w:t>50 €</w:t>
      </w:r>
      <w:r>
        <w:rPr>
          <w:i/>
          <w:iCs/>
          <w:color w:val="7030A0"/>
          <w:sz w:val="20"/>
          <w:szCs w:val="20"/>
        </w:rPr>
        <w:tab/>
        <w:t xml:space="preserve">      </w:t>
      </w:r>
    </w:p>
    <w:p w14:paraId="766D7228" w14:textId="4482824B" w:rsidR="006629B2" w:rsidRDefault="006629B2" w:rsidP="006629B2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Coopérative scolaire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>300 €</w:t>
      </w:r>
    </w:p>
    <w:p w14:paraId="3EA7CF3D" w14:textId="720CD093" w:rsidR="006629B2" w:rsidRDefault="006629B2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Karaté Club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proofErr w:type="gramStart"/>
      <w:r>
        <w:rPr>
          <w:i/>
          <w:iCs/>
          <w:color w:val="7030A0"/>
          <w:sz w:val="20"/>
          <w:szCs w:val="20"/>
        </w:rPr>
        <w:tab/>
        <w:t xml:space="preserve">  </w:t>
      </w:r>
      <w:r w:rsidR="00DF6E8C">
        <w:rPr>
          <w:i/>
          <w:iCs/>
          <w:color w:val="7030A0"/>
          <w:sz w:val="20"/>
          <w:szCs w:val="20"/>
        </w:rPr>
        <w:tab/>
      </w:r>
      <w:proofErr w:type="gramEnd"/>
      <w:r w:rsidR="00DF6E8C">
        <w:rPr>
          <w:i/>
          <w:iCs/>
          <w:color w:val="7030A0"/>
          <w:sz w:val="20"/>
          <w:szCs w:val="20"/>
        </w:rPr>
        <w:t xml:space="preserve">  </w:t>
      </w:r>
      <w:r>
        <w:rPr>
          <w:i/>
          <w:iCs/>
          <w:color w:val="7030A0"/>
          <w:sz w:val="20"/>
          <w:szCs w:val="20"/>
        </w:rPr>
        <w:t>50 €</w:t>
      </w:r>
    </w:p>
    <w:p w14:paraId="633C64D2" w14:textId="4547B5A8" w:rsidR="006629B2" w:rsidRDefault="006629B2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L’Aiguillage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  <w:t xml:space="preserve">      </w:t>
      </w:r>
      <w:r w:rsidR="00DF6E8C">
        <w:rPr>
          <w:i/>
          <w:iCs/>
          <w:color w:val="7030A0"/>
          <w:sz w:val="20"/>
          <w:szCs w:val="20"/>
        </w:rPr>
        <w:t xml:space="preserve">   </w:t>
      </w:r>
      <w:r w:rsidR="00DF6E8C"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  <w:t>200</w:t>
      </w:r>
      <w:r>
        <w:rPr>
          <w:i/>
          <w:iCs/>
          <w:color w:val="7030A0"/>
          <w:sz w:val="20"/>
          <w:szCs w:val="20"/>
        </w:rPr>
        <w:t xml:space="preserve"> €</w:t>
      </w:r>
    </w:p>
    <w:p w14:paraId="45F01D9F" w14:textId="69D30CFA" w:rsidR="00591645" w:rsidRDefault="00591645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SAVB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 w:rsidR="009E53BE"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>100 €</w:t>
      </w:r>
    </w:p>
    <w:p w14:paraId="5DE4941E" w14:textId="6412C79E" w:rsidR="00655C4F" w:rsidRDefault="00655C4F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Société de chasse</w:t>
      </w:r>
      <w:r>
        <w:rPr>
          <w:i/>
          <w:iCs/>
          <w:color w:val="7030A0"/>
          <w:sz w:val="20"/>
          <w:szCs w:val="20"/>
        </w:rPr>
        <w:tab/>
      </w:r>
      <w:proofErr w:type="gramStart"/>
      <w:r>
        <w:rPr>
          <w:i/>
          <w:iCs/>
          <w:color w:val="7030A0"/>
          <w:sz w:val="20"/>
          <w:szCs w:val="20"/>
        </w:rPr>
        <w:tab/>
      </w:r>
      <w:r w:rsidR="006629B2">
        <w:rPr>
          <w:i/>
          <w:iCs/>
          <w:color w:val="7030A0"/>
          <w:sz w:val="20"/>
          <w:szCs w:val="20"/>
        </w:rPr>
        <w:t xml:space="preserve">  </w:t>
      </w:r>
      <w:r>
        <w:rPr>
          <w:i/>
          <w:iCs/>
          <w:color w:val="7030A0"/>
          <w:sz w:val="20"/>
          <w:szCs w:val="20"/>
        </w:rPr>
        <w:tab/>
      </w:r>
      <w:proofErr w:type="gramEnd"/>
      <w:r w:rsidR="006629B2">
        <w:rPr>
          <w:i/>
          <w:iCs/>
          <w:color w:val="7030A0"/>
          <w:sz w:val="20"/>
          <w:szCs w:val="20"/>
        </w:rPr>
        <w:t xml:space="preserve">     </w:t>
      </w:r>
      <w:r w:rsidR="009E53BE">
        <w:rPr>
          <w:i/>
          <w:iCs/>
          <w:color w:val="7030A0"/>
          <w:sz w:val="20"/>
          <w:szCs w:val="20"/>
        </w:rPr>
        <w:t xml:space="preserve">      </w:t>
      </w:r>
      <w:r>
        <w:rPr>
          <w:i/>
          <w:iCs/>
          <w:color w:val="7030A0"/>
          <w:sz w:val="20"/>
          <w:szCs w:val="20"/>
        </w:rPr>
        <w:t xml:space="preserve"> </w:t>
      </w:r>
      <w:r w:rsidR="00DF6E8C">
        <w:rPr>
          <w:i/>
          <w:iCs/>
          <w:color w:val="7030A0"/>
          <w:sz w:val="20"/>
          <w:szCs w:val="20"/>
        </w:rPr>
        <w:tab/>
        <w:t xml:space="preserve">            </w:t>
      </w:r>
      <w:r w:rsidR="006629B2">
        <w:rPr>
          <w:i/>
          <w:iCs/>
          <w:color w:val="7030A0"/>
          <w:sz w:val="20"/>
          <w:szCs w:val="20"/>
        </w:rPr>
        <w:t>1 </w:t>
      </w:r>
      <w:r w:rsidR="00571704">
        <w:rPr>
          <w:i/>
          <w:iCs/>
          <w:color w:val="7030A0"/>
          <w:sz w:val="20"/>
          <w:szCs w:val="20"/>
        </w:rPr>
        <w:t>113</w:t>
      </w:r>
      <w:r w:rsidR="006629B2">
        <w:rPr>
          <w:i/>
          <w:iCs/>
          <w:color w:val="7030A0"/>
          <w:sz w:val="20"/>
          <w:szCs w:val="20"/>
        </w:rPr>
        <w:t xml:space="preserve"> €</w:t>
      </w:r>
    </w:p>
    <w:p w14:paraId="5F062872" w14:textId="4E97E29B" w:rsidR="009E53BE" w:rsidRDefault="009E53BE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Jeunes agriculteurs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  <w:t xml:space="preserve">               </w:t>
      </w:r>
      <w:r w:rsidR="00DF6E8C"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>100 €</w:t>
      </w:r>
    </w:p>
    <w:p w14:paraId="0B59386A" w14:textId="45349EE4" w:rsidR="009E53BE" w:rsidRDefault="009E53BE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Amicale des Parents d’Elèves</w:t>
      </w:r>
      <w:r>
        <w:rPr>
          <w:i/>
          <w:iCs/>
          <w:color w:val="7030A0"/>
          <w:sz w:val="20"/>
          <w:szCs w:val="20"/>
        </w:rPr>
        <w:tab/>
        <w:t xml:space="preserve">              </w:t>
      </w:r>
      <w:r w:rsidR="00DF6E8C"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>600 €</w:t>
      </w:r>
    </w:p>
    <w:p w14:paraId="049DBD5C" w14:textId="083BC31D" w:rsidR="006629B2" w:rsidRDefault="009E53BE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>Les amis des glycines</w:t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  <w:t xml:space="preserve">              </w:t>
      </w:r>
      <w:r w:rsidR="00DF6E8C"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>100 €</w:t>
      </w:r>
    </w:p>
    <w:p w14:paraId="64E83A96" w14:textId="0BAA531A" w:rsidR="009E53BE" w:rsidRDefault="009E53BE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r>
        <w:rPr>
          <w:i/>
          <w:iCs/>
          <w:color w:val="7030A0"/>
          <w:sz w:val="20"/>
          <w:szCs w:val="20"/>
        </w:rPr>
        <w:t xml:space="preserve">Les anciens de la </w:t>
      </w:r>
      <w:proofErr w:type="spellStart"/>
      <w:r>
        <w:rPr>
          <w:i/>
          <w:iCs/>
          <w:color w:val="7030A0"/>
          <w:sz w:val="20"/>
          <w:szCs w:val="20"/>
        </w:rPr>
        <w:t>viti</w:t>
      </w:r>
      <w:proofErr w:type="spellEnd"/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  <w:t xml:space="preserve">             </w:t>
      </w:r>
      <w:r w:rsidR="00DF6E8C">
        <w:rPr>
          <w:i/>
          <w:iCs/>
          <w:color w:val="7030A0"/>
          <w:sz w:val="20"/>
          <w:szCs w:val="20"/>
        </w:rPr>
        <w:tab/>
      </w:r>
      <w:r w:rsidR="00DF6E8C"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>100 €</w:t>
      </w:r>
    </w:p>
    <w:p w14:paraId="79775271" w14:textId="15DAA0C3" w:rsidR="009E53BE" w:rsidRDefault="009E53BE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  <w:proofErr w:type="spellStart"/>
      <w:r>
        <w:rPr>
          <w:i/>
          <w:iCs/>
          <w:color w:val="7030A0"/>
          <w:sz w:val="20"/>
          <w:szCs w:val="20"/>
        </w:rPr>
        <w:t>Alméa</w:t>
      </w:r>
      <w:proofErr w:type="spellEnd"/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</w:r>
      <w:r>
        <w:rPr>
          <w:i/>
          <w:iCs/>
          <w:color w:val="7030A0"/>
          <w:sz w:val="20"/>
          <w:szCs w:val="20"/>
        </w:rPr>
        <w:tab/>
        <w:t xml:space="preserve">              </w:t>
      </w:r>
      <w:r w:rsidR="00DF6E8C">
        <w:rPr>
          <w:i/>
          <w:iCs/>
          <w:color w:val="7030A0"/>
          <w:sz w:val="20"/>
          <w:szCs w:val="20"/>
        </w:rPr>
        <w:tab/>
      </w:r>
      <w:proofErr w:type="gramStart"/>
      <w:r w:rsidR="00DF6E8C">
        <w:rPr>
          <w:i/>
          <w:iCs/>
          <w:color w:val="7030A0"/>
          <w:sz w:val="20"/>
          <w:szCs w:val="20"/>
        </w:rPr>
        <w:tab/>
        <w:t xml:space="preserve"> </w:t>
      </w:r>
      <w:r>
        <w:rPr>
          <w:i/>
          <w:iCs/>
          <w:color w:val="7030A0"/>
          <w:sz w:val="20"/>
          <w:szCs w:val="20"/>
        </w:rPr>
        <w:t xml:space="preserve"> 65</w:t>
      </w:r>
      <w:proofErr w:type="gramEnd"/>
      <w:r>
        <w:rPr>
          <w:i/>
          <w:iCs/>
          <w:color w:val="7030A0"/>
          <w:sz w:val="20"/>
          <w:szCs w:val="20"/>
        </w:rPr>
        <w:t xml:space="preserve"> €</w:t>
      </w:r>
    </w:p>
    <w:p w14:paraId="50E5C343" w14:textId="77777777" w:rsidR="009E53BE" w:rsidRDefault="009E53BE" w:rsidP="007B7FFA">
      <w:pPr>
        <w:spacing w:after="0" w:line="240" w:lineRule="auto"/>
        <w:jc w:val="both"/>
        <w:rPr>
          <w:i/>
          <w:iCs/>
          <w:color w:val="7030A0"/>
          <w:sz w:val="20"/>
          <w:szCs w:val="20"/>
        </w:rPr>
      </w:pPr>
    </w:p>
    <w:p w14:paraId="11436E16" w14:textId="16ADA96E" w:rsidR="00A441A2" w:rsidRPr="007B7FFA" w:rsidRDefault="00E01DD3" w:rsidP="007B7FF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5</w:t>
      </w:r>
      <w:r w:rsidR="00B608FC">
        <w:rPr>
          <w:b/>
          <w:bCs/>
          <w:sz w:val="20"/>
          <w:szCs w:val="20"/>
          <w:u w:val="single"/>
        </w:rPr>
        <w:t xml:space="preserve">) </w:t>
      </w:r>
      <w:r w:rsidR="00A441A2" w:rsidRPr="007B7FFA">
        <w:rPr>
          <w:b/>
          <w:bCs/>
          <w:sz w:val="20"/>
          <w:szCs w:val="20"/>
          <w:u w:val="single"/>
        </w:rPr>
        <w:t>Les charges financières (chapitre 66)</w:t>
      </w:r>
    </w:p>
    <w:p w14:paraId="62E30859" w14:textId="46E2C886" w:rsidR="00510CEE" w:rsidRDefault="007025A6" w:rsidP="007B7FFA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>Ces charges concernent les intérêts des emprunts pour un montant de</w:t>
      </w:r>
      <w:r w:rsidR="00591645">
        <w:rPr>
          <w:sz w:val="20"/>
          <w:szCs w:val="20"/>
        </w:rPr>
        <w:t xml:space="preserve"> </w:t>
      </w:r>
      <w:r w:rsidR="003162BE">
        <w:rPr>
          <w:sz w:val="20"/>
          <w:szCs w:val="20"/>
        </w:rPr>
        <w:t xml:space="preserve">480 </w:t>
      </w:r>
      <w:r w:rsidR="00591645">
        <w:rPr>
          <w:sz w:val="20"/>
          <w:szCs w:val="20"/>
        </w:rPr>
        <w:t xml:space="preserve">000 </w:t>
      </w:r>
      <w:r w:rsidRPr="007B7FFA">
        <w:rPr>
          <w:sz w:val="20"/>
          <w:szCs w:val="20"/>
        </w:rPr>
        <w:t xml:space="preserve">€. </w:t>
      </w:r>
      <w:r w:rsidR="00425A8B" w:rsidRPr="007B7FFA">
        <w:rPr>
          <w:sz w:val="20"/>
          <w:szCs w:val="20"/>
        </w:rPr>
        <w:t>Elles</w:t>
      </w:r>
      <w:r w:rsidRPr="007B7FFA">
        <w:rPr>
          <w:sz w:val="20"/>
          <w:szCs w:val="20"/>
        </w:rPr>
        <w:t xml:space="preserve"> étaient de </w:t>
      </w:r>
      <w:r w:rsidR="00863335">
        <w:rPr>
          <w:sz w:val="20"/>
          <w:szCs w:val="20"/>
        </w:rPr>
        <w:t>3 710,94</w:t>
      </w:r>
      <w:r w:rsidR="00655C4F">
        <w:rPr>
          <w:sz w:val="20"/>
          <w:szCs w:val="20"/>
        </w:rPr>
        <w:t xml:space="preserve"> € </w:t>
      </w:r>
      <w:r w:rsidRPr="007B7FFA">
        <w:rPr>
          <w:sz w:val="20"/>
          <w:szCs w:val="20"/>
        </w:rPr>
        <w:t xml:space="preserve">en </w:t>
      </w:r>
      <w:r w:rsidR="00B54843">
        <w:rPr>
          <w:sz w:val="20"/>
          <w:szCs w:val="20"/>
        </w:rPr>
        <w:t>2025</w:t>
      </w:r>
      <w:r w:rsidRPr="007B7FFA">
        <w:rPr>
          <w:sz w:val="20"/>
          <w:szCs w:val="20"/>
        </w:rPr>
        <w:t>.</w:t>
      </w:r>
    </w:p>
    <w:p w14:paraId="3AC42DAD" w14:textId="77777777" w:rsidR="007B7FFA" w:rsidRDefault="007B7FFA" w:rsidP="00B608FC">
      <w:pPr>
        <w:pStyle w:val="Paragraphedeliste"/>
        <w:jc w:val="both"/>
        <w:rPr>
          <w:b/>
          <w:bCs/>
          <w:sz w:val="20"/>
          <w:szCs w:val="20"/>
          <w:u w:val="single"/>
        </w:rPr>
      </w:pPr>
    </w:p>
    <w:p w14:paraId="13191C8B" w14:textId="68A77221" w:rsidR="007025A6" w:rsidRPr="007B7FFA" w:rsidRDefault="00E01DD3" w:rsidP="007025A6">
      <w:pPr>
        <w:pStyle w:val="Paragraphedeliste"/>
        <w:numPr>
          <w:ilvl w:val="0"/>
          <w:numId w:val="1"/>
        </w:num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6</w:t>
      </w:r>
      <w:r w:rsidR="00B608FC">
        <w:rPr>
          <w:b/>
          <w:bCs/>
          <w:sz w:val="20"/>
          <w:szCs w:val="20"/>
          <w:u w:val="single"/>
        </w:rPr>
        <w:t xml:space="preserve">) </w:t>
      </w:r>
      <w:r w:rsidR="007025A6" w:rsidRPr="007B7FFA">
        <w:rPr>
          <w:b/>
          <w:bCs/>
          <w:sz w:val="20"/>
          <w:szCs w:val="20"/>
          <w:u w:val="single"/>
        </w:rPr>
        <w:t>Les charges exceptionnelles (chapitre 67)</w:t>
      </w:r>
    </w:p>
    <w:p w14:paraId="4568BA0B" w14:textId="242C568D" w:rsidR="00510CEE" w:rsidRPr="007B7FFA" w:rsidRDefault="007025A6" w:rsidP="009766E5">
      <w:pPr>
        <w:jc w:val="both"/>
        <w:rPr>
          <w:sz w:val="20"/>
          <w:szCs w:val="20"/>
        </w:rPr>
      </w:pPr>
      <w:r w:rsidRPr="007B7FFA">
        <w:rPr>
          <w:sz w:val="20"/>
          <w:szCs w:val="20"/>
        </w:rPr>
        <w:t xml:space="preserve">Elles concernent </w:t>
      </w:r>
      <w:r w:rsidR="00D07ADB">
        <w:rPr>
          <w:sz w:val="20"/>
          <w:szCs w:val="20"/>
        </w:rPr>
        <w:t xml:space="preserve">exclusivement </w:t>
      </w:r>
      <w:r w:rsidR="00591645">
        <w:rPr>
          <w:sz w:val="20"/>
          <w:szCs w:val="20"/>
        </w:rPr>
        <w:t xml:space="preserve">les titres annulés sur exercices antérieurs </w:t>
      </w:r>
      <w:r w:rsidR="00D07ADB">
        <w:rPr>
          <w:sz w:val="20"/>
          <w:szCs w:val="20"/>
        </w:rPr>
        <w:t xml:space="preserve">pour un montant de </w:t>
      </w:r>
      <w:r w:rsidR="00CD26AE">
        <w:rPr>
          <w:sz w:val="20"/>
          <w:szCs w:val="20"/>
        </w:rPr>
        <w:t>0,00</w:t>
      </w:r>
      <w:r w:rsidR="00591645">
        <w:rPr>
          <w:sz w:val="20"/>
          <w:szCs w:val="20"/>
        </w:rPr>
        <w:t xml:space="preserve"> €</w:t>
      </w:r>
      <w:r w:rsidRPr="007B7FFA">
        <w:rPr>
          <w:sz w:val="20"/>
          <w:szCs w:val="20"/>
        </w:rPr>
        <w:t>.</w:t>
      </w:r>
    </w:p>
    <w:p w14:paraId="5DB5FEA7" w14:textId="77777777" w:rsidR="007025A6" w:rsidRPr="007B7FFA" w:rsidRDefault="007025A6" w:rsidP="0081365E">
      <w:pPr>
        <w:jc w:val="center"/>
        <w:rPr>
          <w:b/>
          <w:bCs/>
          <w:sz w:val="20"/>
          <w:szCs w:val="20"/>
        </w:rPr>
      </w:pPr>
      <w:r w:rsidRPr="007B7FFA">
        <w:rPr>
          <w:b/>
          <w:bCs/>
          <w:sz w:val="20"/>
          <w:szCs w:val="20"/>
        </w:rPr>
        <w:t>Récapitulatif des dépenses de fonctionnement</w:t>
      </w:r>
    </w:p>
    <w:tbl>
      <w:tblPr>
        <w:tblW w:w="7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759"/>
        <w:gridCol w:w="1560"/>
        <w:gridCol w:w="1559"/>
      </w:tblGrid>
      <w:tr w:rsidR="00720D43" w:rsidRPr="007B7FFA" w14:paraId="5AB98163" w14:textId="77777777" w:rsidTr="000D26B4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9F73186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Chapitres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B33A7E4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sz w:val="20"/>
                <w:szCs w:val="20"/>
                <w:lang w:eastAsia="fr-FR"/>
              </w:rPr>
              <w:t>Intitulés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7BC90DF" w14:textId="10ECC0EA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sz w:val="20"/>
                <w:szCs w:val="20"/>
                <w:lang w:eastAsia="fr-FR"/>
              </w:rPr>
              <w:t>CA 20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80E99F1" w14:textId="0B635D4A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CA 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2025</w:t>
            </w:r>
          </w:p>
        </w:tc>
      </w:tr>
      <w:tr w:rsidR="00720D43" w:rsidRPr="007B7FFA" w14:paraId="37F28A47" w14:textId="77777777" w:rsidTr="000D26B4">
        <w:trPr>
          <w:trHeight w:val="444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593B3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011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0009D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Charges à caractère général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C43E8E" w14:textId="3CC7E413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246 965,02 €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0BE48" w14:textId="38751D76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235 099,16 €</w:t>
            </w:r>
          </w:p>
        </w:tc>
      </w:tr>
      <w:tr w:rsidR="00720D43" w:rsidRPr="007B7FFA" w14:paraId="4BAC818C" w14:textId="77777777" w:rsidTr="000D26B4">
        <w:trPr>
          <w:trHeight w:val="408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FA194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012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69829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Charges de personnel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83E3A" w14:textId="34EE2A74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245 487,11 €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80F0A" w14:textId="236A6842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249 246,67 €</w:t>
            </w:r>
          </w:p>
        </w:tc>
      </w:tr>
      <w:tr w:rsidR="00720D43" w:rsidRPr="007B7FFA" w14:paraId="0A530650" w14:textId="77777777" w:rsidTr="000D26B4">
        <w:trPr>
          <w:trHeight w:val="4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2C315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014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2D3B3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Atténuation de produits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F0300D" w14:textId="1C135B59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7 755,00 €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03B24" w14:textId="5617C2C5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17 524,00 €</w:t>
            </w:r>
          </w:p>
        </w:tc>
      </w:tr>
      <w:tr w:rsidR="00720D43" w:rsidRPr="007B7FFA" w14:paraId="6869786F" w14:textId="77777777" w:rsidTr="000D26B4">
        <w:trPr>
          <w:trHeight w:val="547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5F2FF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7E281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Autres charges de gestion courante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91560" w14:textId="3D09693B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113 992,22 €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5EBA7" w14:textId="798C01BA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117 517,58 €</w:t>
            </w:r>
          </w:p>
        </w:tc>
      </w:tr>
      <w:tr w:rsidR="00720D43" w:rsidRPr="007B7FFA" w14:paraId="3929EC25" w14:textId="77777777" w:rsidTr="000D26B4">
        <w:trPr>
          <w:trHeight w:val="4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E1729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B5BC2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Charges financières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BEF79" w14:textId="0FF1ED8D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4 304,38 €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EF887" w14:textId="7A8A5E0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3 710,94 €</w:t>
            </w:r>
          </w:p>
        </w:tc>
      </w:tr>
      <w:tr w:rsidR="00720D43" w:rsidRPr="007B7FFA" w14:paraId="1B82F01D" w14:textId="77777777" w:rsidTr="000D26B4">
        <w:trPr>
          <w:trHeight w:val="264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52687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3CFC7" w14:textId="77777777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Charges exceptionnelles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36CAC1" w14:textId="0A85FE56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D1034" w14:textId="5955A2A6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</w:tr>
      <w:tr w:rsidR="00720D43" w:rsidRPr="007B7FFA" w14:paraId="3BD24DF8" w14:textId="77777777" w:rsidTr="000D26B4">
        <w:trPr>
          <w:trHeight w:val="538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25318" w14:textId="4C6769F3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042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7A68EE" w14:textId="4CA03861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Opérations d’ordre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8488F" w14:textId="44380C73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166 532,04 €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43E1C" w14:textId="074EBE24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67 797,70 €</w:t>
            </w:r>
          </w:p>
        </w:tc>
      </w:tr>
      <w:tr w:rsidR="00720D43" w:rsidRPr="007B7FFA" w14:paraId="5D4CCDEB" w14:textId="77777777" w:rsidTr="000D26B4">
        <w:trPr>
          <w:trHeight w:val="275"/>
          <w:jc w:val="center"/>
        </w:trPr>
        <w:tc>
          <w:tcPr>
            <w:tcW w:w="39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5FC69" w14:textId="6EEBBC6F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</w:p>
          <w:p w14:paraId="16B10F67" w14:textId="64A8EE60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B7FFA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Total des dépenses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8B24B" w14:textId="6DB84DC4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785 035,77 €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CB2D9" w14:textId="63DF445E" w:rsidR="00720D43" w:rsidRPr="007B7FFA" w:rsidRDefault="00720D43" w:rsidP="00720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690 896,05 €</w:t>
            </w:r>
          </w:p>
        </w:tc>
      </w:tr>
    </w:tbl>
    <w:p w14:paraId="6684AA81" w14:textId="77777777" w:rsidR="00D446F3" w:rsidRPr="007B7FFA" w:rsidRDefault="00D446F3" w:rsidP="00BC5464">
      <w:pPr>
        <w:jc w:val="both"/>
        <w:rPr>
          <w:b/>
          <w:bCs/>
          <w:color w:val="7030A0"/>
          <w:sz w:val="20"/>
          <w:szCs w:val="20"/>
        </w:rPr>
      </w:pPr>
    </w:p>
    <w:p w14:paraId="4266735C" w14:textId="77777777" w:rsidR="00720D43" w:rsidRDefault="00720D43" w:rsidP="00BC5464">
      <w:pPr>
        <w:jc w:val="both"/>
        <w:rPr>
          <w:b/>
          <w:bCs/>
          <w:color w:val="7030A0"/>
          <w:sz w:val="20"/>
          <w:szCs w:val="20"/>
        </w:rPr>
      </w:pPr>
    </w:p>
    <w:p w14:paraId="656CD310" w14:textId="77777777" w:rsidR="00751428" w:rsidRDefault="00751428" w:rsidP="00BC5464">
      <w:pPr>
        <w:jc w:val="both"/>
        <w:rPr>
          <w:b/>
          <w:bCs/>
          <w:color w:val="7030A0"/>
          <w:sz w:val="20"/>
          <w:szCs w:val="20"/>
        </w:rPr>
      </w:pPr>
    </w:p>
    <w:p w14:paraId="6E087A93" w14:textId="77777777" w:rsidR="00751428" w:rsidRDefault="00751428" w:rsidP="00BC5464">
      <w:pPr>
        <w:jc w:val="both"/>
        <w:rPr>
          <w:b/>
          <w:bCs/>
          <w:color w:val="7030A0"/>
          <w:sz w:val="20"/>
          <w:szCs w:val="20"/>
        </w:rPr>
      </w:pPr>
    </w:p>
    <w:p w14:paraId="0A8DF38E" w14:textId="1F85E0A9" w:rsidR="00BC5464" w:rsidRPr="007B7FFA" w:rsidRDefault="00BC5464" w:rsidP="00BC5464">
      <w:pPr>
        <w:jc w:val="both"/>
        <w:rPr>
          <w:b/>
          <w:bCs/>
          <w:color w:val="7030A0"/>
          <w:sz w:val="20"/>
          <w:szCs w:val="20"/>
        </w:rPr>
      </w:pPr>
      <w:r w:rsidRPr="007B7FFA">
        <w:rPr>
          <w:b/>
          <w:bCs/>
          <w:color w:val="7030A0"/>
          <w:sz w:val="20"/>
          <w:szCs w:val="20"/>
        </w:rPr>
        <w:t>Les recettes de fonctionnement :</w:t>
      </w:r>
    </w:p>
    <w:p w14:paraId="02C53627" w14:textId="77777777" w:rsidR="007025A6" w:rsidRPr="007B7FFA" w:rsidRDefault="00B24418" w:rsidP="00D446F3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>Les recettes réelles peuvent être classées en plusieurs catégories selon leur origine :</w:t>
      </w:r>
    </w:p>
    <w:p w14:paraId="62BB260C" w14:textId="77777777" w:rsidR="004027FC" w:rsidRPr="007B7FFA" w:rsidRDefault="004027FC" w:rsidP="00D446F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>Atténuation de charges</w:t>
      </w:r>
    </w:p>
    <w:p w14:paraId="40AF76D3" w14:textId="77777777" w:rsidR="00B24418" w:rsidRPr="007B7FFA" w:rsidRDefault="00B24418" w:rsidP="00D446F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>Les produits issus de la fiscalité directe locale</w:t>
      </w:r>
    </w:p>
    <w:p w14:paraId="266E4CAD" w14:textId="77777777" w:rsidR="00B24418" w:rsidRPr="007B7FFA" w:rsidRDefault="00B24418" w:rsidP="00D446F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>Les dotations de l’</w:t>
      </w:r>
      <w:r w:rsidR="004027FC" w:rsidRPr="007B7FFA">
        <w:rPr>
          <w:sz w:val="20"/>
          <w:szCs w:val="20"/>
        </w:rPr>
        <w:t>État</w:t>
      </w:r>
      <w:r w:rsidRPr="007B7FFA">
        <w:rPr>
          <w:sz w:val="20"/>
          <w:szCs w:val="20"/>
        </w:rPr>
        <w:t xml:space="preserve"> (dont la dotation globale de fonctionnement) et </w:t>
      </w:r>
      <w:r w:rsidR="00D07ADB">
        <w:rPr>
          <w:sz w:val="20"/>
          <w:szCs w:val="20"/>
        </w:rPr>
        <w:t xml:space="preserve">les </w:t>
      </w:r>
      <w:r w:rsidRPr="007B7FFA">
        <w:rPr>
          <w:sz w:val="20"/>
          <w:szCs w:val="20"/>
        </w:rPr>
        <w:t>participations d’autres collectivités</w:t>
      </w:r>
    </w:p>
    <w:p w14:paraId="70806262" w14:textId="77777777" w:rsidR="00B24418" w:rsidRPr="007B7FFA" w:rsidRDefault="00B24418" w:rsidP="00D446F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>Les produits des services</w:t>
      </w:r>
    </w:p>
    <w:p w14:paraId="084B4C21" w14:textId="77777777" w:rsidR="00B24418" w:rsidRPr="007B7FFA" w:rsidRDefault="00B24418" w:rsidP="00D446F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>Les revenus des</w:t>
      </w:r>
      <w:r w:rsidR="001F201D" w:rsidRPr="007B7FFA">
        <w:rPr>
          <w:sz w:val="20"/>
          <w:szCs w:val="20"/>
        </w:rPr>
        <w:t xml:space="preserve"> immeubles communaux</w:t>
      </w:r>
    </w:p>
    <w:p w14:paraId="4BB451A6" w14:textId="77777777" w:rsidR="007C003B" w:rsidRPr="007B7FFA" w:rsidRDefault="007C003B" w:rsidP="00D446F3">
      <w:pPr>
        <w:pStyle w:val="Paragraphedeliste"/>
        <w:spacing w:after="0" w:line="240" w:lineRule="auto"/>
        <w:jc w:val="both"/>
        <w:rPr>
          <w:sz w:val="20"/>
          <w:szCs w:val="20"/>
        </w:rPr>
      </w:pPr>
    </w:p>
    <w:p w14:paraId="5FAD27F7" w14:textId="77777777" w:rsidR="004027FC" w:rsidRPr="007B7FFA" w:rsidRDefault="00E405C8" w:rsidP="00E405C8">
      <w:pPr>
        <w:pStyle w:val="Paragraphedeliste"/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7B7FFA">
        <w:rPr>
          <w:b/>
          <w:bCs/>
          <w:sz w:val="20"/>
          <w:szCs w:val="20"/>
          <w:u w:val="single"/>
        </w:rPr>
        <w:t xml:space="preserve">1) </w:t>
      </w:r>
      <w:r w:rsidR="00DC7E22" w:rsidRPr="007B7FFA">
        <w:rPr>
          <w:b/>
          <w:bCs/>
          <w:sz w:val="20"/>
          <w:szCs w:val="20"/>
          <w:u w:val="single"/>
        </w:rPr>
        <w:t>Les a</w:t>
      </w:r>
      <w:r w:rsidR="004027FC" w:rsidRPr="007B7FFA">
        <w:rPr>
          <w:b/>
          <w:bCs/>
          <w:sz w:val="20"/>
          <w:szCs w:val="20"/>
          <w:u w:val="single"/>
        </w:rPr>
        <w:t>tténuations de charges (chapitre 013)</w:t>
      </w:r>
    </w:p>
    <w:p w14:paraId="10E326B2" w14:textId="0922529C" w:rsidR="004027FC" w:rsidRPr="00EB27B3" w:rsidRDefault="004027FC" w:rsidP="004027FC">
      <w:pPr>
        <w:jc w:val="both"/>
        <w:rPr>
          <w:sz w:val="20"/>
          <w:szCs w:val="20"/>
        </w:rPr>
      </w:pPr>
      <w:r w:rsidRPr="00EB27B3">
        <w:rPr>
          <w:sz w:val="20"/>
          <w:szCs w:val="20"/>
        </w:rPr>
        <w:t>Il s’agit</w:t>
      </w:r>
      <w:r w:rsidR="00EB27B3" w:rsidRPr="00EB27B3">
        <w:rPr>
          <w:sz w:val="20"/>
          <w:szCs w:val="20"/>
        </w:rPr>
        <w:t xml:space="preserve"> </w:t>
      </w:r>
      <w:r w:rsidR="00A56F77">
        <w:rPr>
          <w:sz w:val="20"/>
          <w:szCs w:val="20"/>
        </w:rPr>
        <w:t>d’une participation versée par la Région pour les accompagnateurs dans le bus scolaire pour u</w:t>
      </w:r>
      <w:r w:rsidRPr="00EB27B3">
        <w:rPr>
          <w:sz w:val="20"/>
          <w:szCs w:val="20"/>
        </w:rPr>
        <w:t xml:space="preserve">n montant de </w:t>
      </w:r>
      <w:r w:rsidR="000D26B4">
        <w:rPr>
          <w:sz w:val="20"/>
          <w:szCs w:val="20"/>
        </w:rPr>
        <w:t>3 000</w:t>
      </w:r>
      <w:r w:rsidR="00B305FB">
        <w:rPr>
          <w:sz w:val="20"/>
          <w:szCs w:val="20"/>
        </w:rPr>
        <w:t xml:space="preserve"> €</w:t>
      </w:r>
      <w:r w:rsidRPr="00EB27B3">
        <w:rPr>
          <w:sz w:val="20"/>
          <w:szCs w:val="20"/>
        </w:rPr>
        <w:t xml:space="preserve"> en </w:t>
      </w:r>
      <w:r w:rsidR="00B54843">
        <w:rPr>
          <w:sz w:val="20"/>
          <w:szCs w:val="20"/>
        </w:rPr>
        <w:t>2025</w:t>
      </w:r>
      <w:r w:rsidRPr="00EB27B3">
        <w:rPr>
          <w:sz w:val="20"/>
          <w:szCs w:val="20"/>
        </w:rPr>
        <w:t xml:space="preserve">. </w:t>
      </w:r>
    </w:p>
    <w:p w14:paraId="755026B8" w14:textId="2AEA2EA1" w:rsidR="004027FC" w:rsidRPr="007B7FFA" w:rsidRDefault="00E405C8" w:rsidP="00323CA0">
      <w:pPr>
        <w:spacing w:after="0" w:line="240" w:lineRule="auto"/>
        <w:ind w:firstLine="708"/>
        <w:jc w:val="both"/>
        <w:rPr>
          <w:b/>
          <w:bCs/>
          <w:sz w:val="20"/>
          <w:szCs w:val="20"/>
          <w:u w:val="single"/>
        </w:rPr>
      </w:pPr>
      <w:r w:rsidRPr="007B7FFA">
        <w:rPr>
          <w:b/>
          <w:bCs/>
          <w:sz w:val="20"/>
          <w:szCs w:val="20"/>
          <w:u w:val="single"/>
        </w:rPr>
        <w:t xml:space="preserve">2) </w:t>
      </w:r>
      <w:r w:rsidR="00DC7E22" w:rsidRPr="007B7FFA">
        <w:rPr>
          <w:b/>
          <w:bCs/>
          <w:sz w:val="20"/>
          <w:szCs w:val="20"/>
          <w:u w:val="single"/>
        </w:rPr>
        <w:t>Les p</w:t>
      </w:r>
      <w:r w:rsidR="007C003B" w:rsidRPr="007B7FFA">
        <w:rPr>
          <w:b/>
          <w:bCs/>
          <w:sz w:val="20"/>
          <w:szCs w:val="20"/>
          <w:u w:val="single"/>
        </w:rPr>
        <w:t>roduits des services</w:t>
      </w:r>
      <w:r w:rsidR="00DC7E22" w:rsidRPr="007B7FFA">
        <w:rPr>
          <w:b/>
          <w:bCs/>
          <w:sz w:val="20"/>
          <w:szCs w:val="20"/>
          <w:u w:val="single"/>
        </w:rPr>
        <w:t xml:space="preserve"> et du patrimoine </w:t>
      </w:r>
      <w:r w:rsidR="007C003B" w:rsidRPr="007B7FFA">
        <w:rPr>
          <w:b/>
          <w:bCs/>
          <w:sz w:val="20"/>
          <w:szCs w:val="20"/>
          <w:u w:val="single"/>
        </w:rPr>
        <w:t>(</w:t>
      </w:r>
      <w:r w:rsidR="00D446F3" w:rsidRPr="007B7FFA">
        <w:rPr>
          <w:b/>
          <w:bCs/>
          <w:sz w:val="20"/>
          <w:szCs w:val="20"/>
          <w:u w:val="single"/>
        </w:rPr>
        <w:t>c</w:t>
      </w:r>
      <w:r w:rsidR="007C003B" w:rsidRPr="007B7FFA">
        <w:rPr>
          <w:b/>
          <w:bCs/>
          <w:sz w:val="20"/>
          <w:szCs w:val="20"/>
          <w:u w:val="single"/>
        </w:rPr>
        <w:t xml:space="preserve">hapitre 70) </w:t>
      </w:r>
    </w:p>
    <w:p w14:paraId="1EEA598E" w14:textId="77777777" w:rsidR="00323CA0" w:rsidRPr="007B7FFA" w:rsidRDefault="00323CA0" w:rsidP="00323CA0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>Les produits proviennent principalement :</w:t>
      </w:r>
    </w:p>
    <w:p w14:paraId="1F7A680B" w14:textId="5C22BD0D" w:rsidR="007025A6" w:rsidRPr="007B7FFA" w:rsidRDefault="009164EB" w:rsidP="00323CA0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r w:rsidR="00323CA0" w:rsidRPr="007B7FFA">
        <w:rPr>
          <w:sz w:val="20"/>
          <w:szCs w:val="20"/>
        </w:rPr>
        <w:t>l’occupation du domaine public</w:t>
      </w:r>
      <w:r w:rsidR="00C36481">
        <w:rPr>
          <w:sz w:val="20"/>
          <w:szCs w:val="20"/>
        </w:rPr>
        <w:t> :</w:t>
      </w:r>
      <w:r w:rsidR="00A56F77">
        <w:rPr>
          <w:sz w:val="20"/>
          <w:szCs w:val="20"/>
        </w:rPr>
        <w:t xml:space="preserve"> 3 177,15</w:t>
      </w:r>
      <w:r w:rsidR="00B305FB">
        <w:rPr>
          <w:sz w:val="20"/>
          <w:szCs w:val="20"/>
        </w:rPr>
        <w:t xml:space="preserve"> €</w:t>
      </w:r>
    </w:p>
    <w:p w14:paraId="35F61E1A" w14:textId="3B77466B" w:rsidR="00323CA0" w:rsidRDefault="009164EB" w:rsidP="00323CA0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23CA0" w:rsidRPr="007B7FFA">
        <w:rPr>
          <w:sz w:val="20"/>
          <w:szCs w:val="20"/>
        </w:rPr>
        <w:t>es ventes de concessions dans le cimetière</w:t>
      </w:r>
      <w:r w:rsidR="00C36481">
        <w:rPr>
          <w:sz w:val="20"/>
          <w:szCs w:val="20"/>
        </w:rPr>
        <w:t> :</w:t>
      </w:r>
      <w:r w:rsidR="00B305FB">
        <w:rPr>
          <w:sz w:val="20"/>
          <w:szCs w:val="20"/>
        </w:rPr>
        <w:t xml:space="preserve"> </w:t>
      </w:r>
      <w:r w:rsidR="002A5D9C">
        <w:rPr>
          <w:sz w:val="20"/>
          <w:szCs w:val="20"/>
        </w:rPr>
        <w:t>2</w:t>
      </w:r>
      <w:r w:rsidR="00A56F77">
        <w:rPr>
          <w:sz w:val="20"/>
          <w:szCs w:val="20"/>
        </w:rPr>
        <w:t>76</w:t>
      </w:r>
      <w:r w:rsidR="002A5D9C">
        <w:rPr>
          <w:sz w:val="20"/>
          <w:szCs w:val="20"/>
        </w:rPr>
        <w:t>,</w:t>
      </w:r>
      <w:r w:rsidR="00B305FB">
        <w:rPr>
          <w:sz w:val="20"/>
          <w:szCs w:val="20"/>
        </w:rPr>
        <w:t>00 €</w:t>
      </w:r>
    </w:p>
    <w:p w14:paraId="3DED9673" w14:textId="4B5C1B89" w:rsidR="00B305FB" w:rsidRDefault="00B305FB" w:rsidP="00323CA0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 coupes de bois : </w:t>
      </w:r>
      <w:r w:rsidR="00A56F77">
        <w:rPr>
          <w:sz w:val="20"/>
          <w:szCs w:val="20"/>
        </w:rPr>
        <w:t>8 270,31</w:t>
      </w:r>
      <w:r>
        <w:rPr>
          <w:sz w:val="20"/>
          <w:szCs w:val="20"/>
        </w:rPr>
        <w:t xml:space="preserve"> €</w:t>
      </w:r>
    </w:p>
    <w:p w14:paraId="5EB18CCC" w14:textId="5A21E101" w:rsidR="00B305FB" w:rsidRDefault="00B305FB" w:rsidP="00323CA0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 taxes d’affouages : </w:t>
      </w:r>
      <w:r w:rsidR="00A56F77">
        <w:rPr>
          <w:sz w:val="20"/>
          <w:szCs w:val="20"/>
        </w:rPr>
        <w:t>35</w:t>
      </w:r>
      <w:r>
        <w:rPr>
          <w:sz w:val="20"/>
          <w:szCs w:val="20"/>
        </w:rPr>
        <w:t>,00 €</w:t>
      </w:r>
    </w:p>
    <w:p w14:paraId="5C7351D6" w14:textId="1922E3D0" w:rsidR="00B305FB" w:rsidRDefault="00B305FB" w:rsidP="00323CA0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 locations de droits de chasse et de pêche : </w:t>
      </w:r>
      <w:r w:rsidR="00A56F77">
        <w:rPr>
          <w:sz w:val="20"/>
          <w:szCs w:val="20"/>
        </w:rPr>
        <w:t>7 534,51</w:t>
      </w:r>
      <w:r>
        <w:rPr>
          <w:sz w:val="20"/>
          <w:szCs w:val="20"/>
        </w:rPr>
        <w:t xml:space="preserve"> €</w:t>
      </w:r>
    </w:p>
    <w:p w14:paraId="4F1775E1" w14:textId="64932681" w:rsidR="00B305FB" w:rsidRDefault="00B305FB" w:rsidP="00323CA0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 remboursements de taxe foncière : </w:t>
      </w:r>
      <w:r w:rsidR="00A56F77">
        <w:rPr>
          <w:sz w:val="20"/>
          <w:szCs w:val="20"/>
        </w:rPr>
        <w:t>6 521</w:t>
      </w:r>
      <w:r w:rsidR="009F15BF">
        <w:rPr>
          <w:sz w:val="20"/>
          <w:szCs w:val="20"/>
        </w:rPr>
        <w:t>,</w:t>
      </w:r>
      <w:r w:rsidR="00A56F77">
        <w:rPr>
          <w:sz w:val="20"/>
          <w:szCs w:val="20"/>
        </w:rPr>
        <w:t>00</w:t>
      </w:r>
      <w:r>
        <w:rPr>
          <w:sz w:val="20"/>
          <w:szCs w:val="20"/>
        </w:rPr>
        <w:t xml:space="preserve"> €</w:t>
      </w:r>
    </w:p>
    <w:p w14:paraId="346E0999" w14:textId="23ADEAE6" w:rsidR="00A56F77" w:rsidRDefault="00A56F77" w:rsidP="00323CA0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Des remboursements pour l’Agence Postale Communale : 16 224,00 e</w:t>
      </w:r>
    </w:p>
    <w:p w14:paraId="52120B3C" w14:textId="77777777" w:rsidR="007B7FFA" w:rsidRPr="007B7FFA" w:rsidRDefault="007B7FFA" w:rsidP="007B7FFA">
      <w:pPr>
        <w:pStyle w:val="Paragraphedeliste"/>
        <w:jc w:val="both"/>
        <w:rPr>
          <w:b/>
          <w:bCs/>
          <w:color w:val="FF0000"/>
          <w:sz w:val="20"/>
          <w:szCs w:val="20"/>
        </w:rPr>
      </w:pPr>
    </w:p>
    <w:p w14:paraId="1945D61D" w14:textId="77777777" w:rsidR="00DC7E22" w:rsidRDefault="00E405C8" w:rsidP="00DC7E22">
      <w:pPr>
        <w:pStyle w:val="Paragraphedeliste"/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7B7FFA">
        <w:rPr>
          <w:b/>
          <w:bCs/>
          <w:sz w:val="20"/>
          <w:szCs w:val="20"/>
          <w:u w:val="single"/>
        </w:rPr>
        <w:t xml:space="preserve">3) </w:t>
      </w:r>
      <w:r w:rsidR="00DC7E22" w:rsidRPr="007B7FFA">
        <w:rPr>
          <w:b/>
          <w:bCs/>
          <w:sz w:val="20"/>
          <w:szCs w:val="20"/>
          <w:u w:val="single"/>
        </w:rPr>
        <w:t xml:space="preserve">Les impôts et taxes (chapitre 73) </w:t>
      </w:r>
    </w:p>
    <w:p w14:paraId="7BF83108" w14:textId="333C2BAC" w:rsidR="00A56F77" w:rsidRPr="00185AE4" w:rsidRDefault="00185AE4" w:rsidP="00185AE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chapitre 73 regroupe les attributions versées par la Communauté de Communes pour un montant de 246 482,79€ et le </w:t>
      </w:r>
      <w:r w:rsidRPr="00185AE4">
        <w:rPr>
          <w:sz w:val="20"/>
          <w:szCs w:val="20"/>
        </w:rPr>
        <w:t>FNGIR</w:t>
      </w:r>
      <w:r w:rsidRPr="00185AE4">
        <w:rPr>
          <w:rFonts w:ascii="Calibri" w:hAnsi="Calibri" w:cs="Calibri"/>
          <w:color w:val="1F1F1F"/>
          <w:sz w:val="20"/>
          <w:szCs w:val="20"/>
          <w:shd w:val="clear" w:color="auto" w:fill="FFFFFF"/>
        </w:rPr>
        <w:t> </w:t>
      </w:r>
      <w:r>
        <w:rPr>
          <w:rFonts w:ascii="Calibri" w:hAnsi="Calibri" w:cs="Calibri"/>
          <w:color w:val="1F1F1F"/>
          <w:sz w:val="20"/>
          <w:szCs w:val="20"/>
          <w:shd w:val="clear" w:color="auto" w:fill="FFFFFF"/>
        </w:rPr>
        <w:t>(</w:t>
      </w:r>
      <w:r w:rsidRPr="00185AE4">
        <w:rPr>
          <w:rFonts w:ascii="Calibri" w:hAnsi="Calibri" w:cs="Calibri"/>
          <w:color w:val="040C28"/>
          <w:sz w:val="20"/>
          <w:szCs w:val="20"/>
        </w:rPr>
        <w:t>mécanisme d'équilibrage des recettes fiscales des collectivités territoriales et de leurs groupements institués après la suppression de la taxe professionnell</w:t>
      </w:r>
      <w:r w:rsidRPr="00185AE4">
        <w:rPr>
          <w:rFonts w:ascii="Calibri" w:hAnsi="Calibri" w:cs="Calibri"/>
          <w:color w:val="040C28"/>
          <w:sz w:val="20"/>
          <w:szCs w:val="20"/>
        </w:rPr>
        <w:t xml:space="preserve">e en 2010 </w:t>
      </w:r>
      <w:r w:rsidRPr="00185AE4">
        <w:rPr>
          <w:sz w:val="20"/>
          <w:szCs w:val="20"/>
        </w:rPr>
        <w:t>pour un montant de 41 562,00 € soit un total de 288 044,79 €.</w:t>
      </w:r>
    </w:p>
    <w:p w14:paraId="295BC094" w14:textId="77777777" w:rsidR="00A56F77" w:rsidRPr="007B7FFA" w:rsidRDefault="00A56F77" w:rsidP="00DC7E22">
      <w:pPr>
        <w:pStyle w:val="Paragraphedeliste"/>
        <w:spacing w:after="0" w:line="240" w:lineRule="auto"/>
        <w:jc w:val="both"/>
        <w:rPr>
          <w:b/>
          <w:bCs/>
          <w:sz w:val="20"/>
          <w:szCs w:val="20"/>
          <w:u w:val="single"/>
        </w:rPr>
      </w:pPr>
    </w:p>
    <w:p w14:paraId="1464A397" w14:textId="09E52431" w:rsidR="00185AE4" w:rsidRDefault="00185AE4" w:rsidP="00185AE4">
      <w:pPr>
        <w:pStyle w:val="Paragraphedeliste"/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4</w:t>
      </w:r>
      <w:r w:rsidRPr="007B7FFA">
        <w:rPr>
          <w:b/>
          <w:bCs/>
          <w:sz w:val="20"/>
          <w:szCs w:val="20"/>
          <w:u w:val="single"/>
        </w:rPr>
        <w:t xml:space="preserve">) </w:t>
      </w:r>
      <w:r>
        <w:rPr>
          <w:b/>
          <w:bCs/>
          <w:sz w:val="20"/>
          <w:szCs w:val="20"/>
          <w:u w:val="single"/>
        </w:rPr>
        <w:t>Fiscalité</w:t>
      </w:r>
      <w:r w:rsidRPr="007B7FFA">
        <w:rPr>
          <w:b/>
          <w:bCs/>
          <w:sz w:val="20"/>
          <w:szCs w:val="20"/>
          <w:u w:val="single"/>
        </w:rPr>
        <w:t xml:space="preserve"> (chapitre 73</w:t>
      </w:r>
      <w:r>
        <w:rPr>
          <w:b/>
          <w:bCs/>
          <w:sz w:val="20"/>
          <w:szCs w:val="20"/>
          <w:u w:val="single"/>
        </w:rPr>
        <w:t>1</w:t>
      </w:r>
      <w:r w:rsidRPr="007B7FFA">
        <w:rPr>
          <w:b/>
          <w:bCs/>
          <w:sz w:val="20"/>
          <w:szCs w:val="20"/>
          <w:u w:val="single"/>
        </w:rPr>
        <w:t xml:space="preserve">) </w:t>
      </w:r>
    </w:p>
    <w:p w14:paraId="0BD084A0" w14:textId="77777777" w:rsidR="00B03EA0" w:rsidRPr="007B7FFA" w:rsidRDefault="00425A8B" w:rsidP="00B03EA0">
      <w:pPr>
        <w:spacing w:after="0" w:line="240" w:lineRule="auto"/>
        <w:jc w:val="both"/>
        <w:rPr>
          <w:b/>
          <w:bCs/>
          <w:sz w:val="20"/>
          <w:szCs w:val="20"/>
        </w:rPr>
      </w:pPr>
      <w:r w:rsidRPr="007B7FFA">
        <w:rPr>
          <w:b/>
          <w:bCs/>
          <w:sz w:val="20"/>
          <w:szCs w:val="20"/>
        </w:rPr>
        <w:t>Les taux</w:t>
      </w:r>
      <w:r w:rsidR="00B305FB">
        <w:rPr>
          <w:b/>
          <w:bCs/>
          <w:sz w:val="20"/>
          <w:szCs w:val="20"/>
        </w:rPr>
        <w:t xml:space="preserve"> </w:t>
      </w:r>
      <w:r w:rsidR="00E405C8" w:rsidRPr="007B7FFA">
        <w:rPr>
          <w:b/>
          <w:bCs/>
          <w:sz w:val="20"/>
          <w:szCs w:val="20"/>
        </w:rPr>
        <w:t xml:space="preserve">d’imposition communaux </w:t>
      </w:r>
      <w:r w:rsidR="00B03EA0" w:rsidRPr="007B7FFA">
        <w:rPr>
          <w:b/>
          <w:bCs/>
          <w:sz w:val="20"/>
          <w:szCs w:val="20"/>
        </w:rPr>
        <w:t xml:space="preserve">sont </w:t>
      </w:r>
      <w:r w:rsidRPr="007B7FFA">
        <w:rPr>
          <w:b/>
          <w:bCs/>
          <w:sz w:val="20"/>
          <w:szCs w:val="20"/>
        </w:rPr>
        <w:t xml:space="preserve">: </w:t>
      </w:r>
    </w:p>
    <w:p w14:paraId="597C935D" w14:textId="77777777" w:rsidR="00B03EA0" w:rsidRPr="007B7FFA" w:rsidRDefault="00425A8B" w:rsidP="00B03EA0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 xml:space="preserve">Taxe sur le </w:t>
      </w:r>
      <w:r w:rsidR="00E405C8" w:rsidRPr="007B7FFA">
        <w:rPr>
          <w:sz w:val="20"/>
          <w:szCs w:val="20"/>
        </w:rPr>
        <w:t>f</w:t>
      </w:r>
      <w:r w:rsidRPr="007B7FFA">
        <w:rPr>
          <w:sz w:val="20"/>
          <w:szCs w:val="20"/>
        </w:rPr>
        <w:t xml:space="preserve">oncier </w:t>
      </w:r>
      <w:r w:rsidR="00E405C8" w:rsidRPr="007B7FFA">
        <w:rPr>
          <w:sz w:val="20"/>
          <w:szCs w:val="20"/>
        </w:rPr>
        <w:t>b</w:t>
      </w:r>
      <w:r w:rsidRPr="007B7FFA">
        <w:rPr>
          <w:sz w:val="20"/>
          <w:szCs w:val="20"/>
        </w:rPr>
        <w:t>âti :</w:t>
      </w:r>
      <w:r w:rsidR="00B305FB">
        <w:rPr>
          <w:sz w:val="20"/>
          <w:szCs w:val="20"/>
        </w:rPr>
        <w:t xml:space="preserve"> 44,09%</w:t>
      </w:r>
    </w:p>
    <w:p w14:paraId="1B2E3B31" w14:textId="77777777" w:rsidR="00B305FB" w:rsidRDefault="00425A8B" w:rsidP="00B305FB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 xml:space="preserve">Taxe sur le </w:t>
      </w:r>
      <w:r w:rsidR="00E405C8" w:rsidRPr="007B7FFA">
        <w:rPr>
          <w:sz w:val="20"/>
          <w:szCs w:val="20"/>
        </w:rPr>
        <w:t>f</w:t>
      </w:r>
      <w:r w:rsidRPr="007B7FFA">
        <w:rPr>
          <w:sz w:val="20"/>
          <w:szCs w:val="20"/>
        </w:rPr>
        <w:t xml:space="preserve">oncier </w:t>
      </w:r>
      <w:r w:rsidR="00E405C8" w:rsidRPr="007B7FFA">
        <w:rPr>
          <w:sz w:val="20"/>
          <w:szCs w:val="20"/>
        </w:rPr>
        <w:t>n</w:t>
      </w:r>
      <w:r w:rsidRPr="007B7FFA">
        <w:rPr>
          <w:sz w:val="20"/>
          <w:szCs w:val="20"/>
        </w:rPr>
        <w:t>on bâti</w:t>
      </w:r>
      <w:r w:rsidR="00B305FB">
        <w:rPr>
          <w:sz w:val="20"/>
          <w:szCs w:val="20"/>
        </w:rPr>
        <w:t> : 16,80%</w:t>
      </w:r>
    </w:p>
    <w:p w14:paraId="6B272D14" w14:textId="77777777" w:rsidR="009673CE" w:rsidRPr="007B7FFA" w:rsidRDefault="009673CE" w:rsidP="00B03EA0">
      <w:pPr>
        <w:spacing w:after="0"/>
        <w:jc w:val="both"/>
        <w:rPr>
          <w:sz w:val="20"/>
          <w:szCs w:val="20"/>
        </w:rPr>
      </w:pPr>
    </w:p>
    <w:tbl>
      <w:tblPr>
        <w:tblStyle w:val="Grilledutableau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2268"/>
        <w:gridCol w:w="2126"/>
        <w:gridCol w:w="1843"/>
      </w:tblGrid>
      <w:tr w:rsidR="00B03EA0" w:rsidRPr="007B7FFA" w14:paraId="20AA18F8" w14:textId="77777777" w:rsidTr="00751428">
        <w:trPr>
          <w:jc w:val="center"/>
        </w:trPr>
        <w:tc>
          <w:tcPr>
            <w:tcW w:w="3114" w:type="dxa"/>
          </w:tcPr>
          <w:p w14:paraId="58F95B50" w14:textId="77777777" w:rsidR="00B03EA0" w:rsidRPr="007B7FFA" w:rsidRDefault="00B03EA0" w:rsidP="00B03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7131006C" w14:textId="6B93EAB7" w:rsidR="00B03EA0" w:rsidRPr="007B7FFA" w:rsidRDefault="00B03EA0" w:rsidP="00B03EA0">
            <w:pPr>
              <w:jc w:val="center"/>
              <w:rPr>
                <w:sz w:val="20"/>
                <w:szCs w:val="20"/>
              </w:rPr>
            </w:pPr>
            <w:r w:rsidRPr="007B7FFA">
              <w:rPr>
                <w:sz w:val="20"/>
                <w:szCs w:val="20"/>
              </w:rPr>
              <w:t xml:space="preserve">CA </w:t>
            </w:r>
            <w:r w:rsidR="009F15BF">
              <w:rPr>
                <w:sz w:val="20"/>
                <w:szCs w:val="20"/>
              </w:rPr>
              <w:t>202</w:t>
            </w:r>
            <w:r w:rsidR="00185AE4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FEA32CE" w14:textId="26E37422" w:rsidR="00B03EA0" w:rsidRPr="007B7FFA" w:rsidRDefault="00B03EA0" w:rsidP="00B03EA0">
            <w:pPr>
              <w:jc w:val="center"/>
              <w:rPr>
                <w:sz w:val="20"/>
                <w:szCs w:val="20"/>
              </w:rPr>
            </w:pPr>
            <w:r w:rsidRPr="007B7FFA">
              <w:rPr>
                <w:sz w:val="20"/>
                <w:szCs w:val="20"/>
              </w:rPr>
              <w:t>CA 20</w:t>
            </w:r>
            <w:r w:rsidR="001306BB">
              <w:rPr>
                <w:sz w:val="20"/>
                <w:szCs w:val="20"/>
              </w:rPr>
              <w:t>2</w:t>
            </w:r>
            <w:r w:rsidR="00185AE4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6AC078A" w14:textId="5F156B1B" w:rsidR="00B03EA0" w:rsidRPr="007B7FFA" w:rsidRDefault="00B03EA0" w:rsidP="00B03EA0">
            <w:pPr>
              <w:jc w:val="center"/>
              <w:rPr>
                <w:sz w:val="20"/>
                <w:szCs w:val="20"/>
              </w:rPr>
            </w:pPr>
            <w:r w:rsidRPr="007B7FFA">
              <w:rPr>
                <w:sz w:val="20"/>
                <w:szCs w:val="20"/>
              </w:rPr>
              <w:t xml:space="preserve">CA </w:t>
            </w:r>
            <w:r w:rsidR="00B54843">
              <w:rPr>
                <w:sz w:val="20"/>
                <w:szCs w:val="20"/>
              </w:rPr>
              <w:t>2025</w:t>
            </w:r>
          </w:p>
        </w:tc>
      </w:tr>
      <w:tr w:rsidR="00B03EA0" w:rsidRPr="007B7FFA" w14:paraId="3EF14A0A" w14:textId="77777777" w:rsidTr="00751428">
        <w:trPr>
          <w:jc w:val="center"/>
        </w:trPr>
        <w:tc>
          <w:tcPr>
            <w:tcW w:w="3114" w:type="dxa"/>
          </w:tcPr>
          <w:p w14:paraId="388CA1C9" w14:textId="77777777" w:rsidR="00B03EA0" w:rsidRPr="007B7FFA" w:rsidRDefault="00B03EA0" w:rsidP="00B03EA0">
            <w:pPr>
              <w:jc w:val="both"/>
              <w:rPr>
                <w:b/>
                <w:bCs/>
                <w:sz w:val="20"/>
                <w:szCs w:val="20"/>
              </w:rPr>
            </w:pPr>
            <w:r w:rsidRPr="007B7FFA">
              <w:rPr>
                <w:b/>
                <w:bCs/>
                <w:sz w:val="20"/>
                <w:szCs w:val="20"/>
              </w:rPr>
              <w:t>73 111 – Taxes foncières et d’habitation</w:t>
            </w:r>
          </w:p>
        </w:tc>
        <w:tc>
          <w:tcPr>
            <w:tcW w:w="2268" w:type="dxa"/>
          </w:tcPr>
          <w:p w14:paraId="06275EA2" w14:textId="6561752B" w:rsidR="00B03EA0" w:rsidRPr="007B7FFA" w:rsidRDefault="00185AE4" w:rsidP="0016452F">
            <w:pPr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332 911,</w:t>
            </w:r>
            <w:proofErr w:type="gramStart"/>
            <w:r>
              <w:rPr>
                <w:i/>
                <w:iCs/>
                <w:color w:val="7030A0"/>
                <w:sz w:val="20"/>
                <w:szCs w:val="20"/>
              </w:rPr>
              <w:t xml:space="preserve">62 </w:t>
            </w:r>
            <w:r w:rsidRPr="00EB27B3">
              <w:rPr>
                <w:i/>
                <w:iCs/>
                <w:color w:val="7030A0"/>
                <w:sz w:val="20"/>
                <w:szCs w:val="20"/>
              </w:rPr>
              <w:t xml:space="preserve"> </w:t>
            </w:r>
            <w:r w:rsidRPr="007B7FFA">
              <w:rPr>
                <w:sz w:val="20"/>
                <w:szCs w:val="20"/>
              </w:rPr>
              <w:t>€</w:t>
            </w:r>
            <w:proofErr w:type="gramEnd"/>
          </w:p>
        </w:tc>
        <w:tc>
          <w:tcPr>
            <w:tcW w:w="2126" w:type="dxa"/>
          </w:tcPr>
          <w:p w14:paraId="2F6632B0" w14:textId="1A65C30A" w:rsidR="00B03EA0" w:rsidRPr="007B7FFA" w:rsidRDefault="00185AE4" w:rsidP="0016452F">
            <w:pPr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 xml:space="preserve">374 576,00 </w:t>
            </w:r>
            <w:r w:rsidRPr="007B7FFA">
              <w:rPr>
                <w:sz w:val="20"/>
                <w:szCs w:val="20"/>
              </w:rPr>
              <w:t>€</w:t>
            </w:r>
            <w:r>
              <w:rPr>
                <w:i/>
                <w:iCs/>
                <w:color w:val="7030A0"/>
                <w:sz w:val="20"/>
                <w:szCs w:val="20"/>
              </w:rPr>
              <w:t xml:space="preserve">  </w:t>
            </w:r>
            <w:r w:rsidRPr="00EB27B3">
              <w:rPr>
                <w:i/>
                <w:i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EB34880" w14:textId="17BD5144" w:rsidR="00B03EA0" w:rsidRPr="007B7FFA" w:rsidRDefault="00185AE4" w:rsidP="0016452F">
            <w:pPr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354 215,00</w:t>
            </w:r>
            <w:r w:rsidR="00B12400">
              <w:rPr>
                <w:i/>
                <w:iCs/>
                <w:color w:val="7030A0"/>
                <w:sz w:val="20"/>
                <w:szCs w:val="20"/>
              </w:rPr>
              <w:t xml:space="preserve"> </w:t>
            </w:r>
            <w:r w:rsidR="00B12400" w:rsidRPr="007B7FFA">
              <w:rPr>
                <w:sz w:val="20"/>
                <w:szCs w:val="20"/>
              </w:rPr>
              <w:t>€</w:t>
            </w:r>
            <w:r w:rsidR="00B12400">
              <w:rPr>
                <w:i/>
                <w:iCs/>
                <w:color w:val="7030A0"/>
                <w:sz w:val="20"/>
                <w:szCs w:val="20"/>
              </w:rPr>
              <w:t xml:space="preserve">  </w:t>
            </w:r>
            <w:r w:rsidR="00B12400" w:rsidRPr="00EB27B3">
              <w:rPr>
                <w:i/>
                <w:iCs/>
                <w:color w:val="7030A0"/>
                <w:sz w:val="20"/>
                <w:szCs w:val="20"/>
              </w:rPr>
              <w:t xml:space="preserve"> </w:t>
            </w:r>
          </w:p>
        </w:tc>
      </w:tr>
    </w:tbl>
    <w:p w14:paraId="6DAA3AC2" w14:textId="77777777" w:rsidR="007025A6" w:rsidRPr="007B7FFA" w:rsidRDefault="007025A6" w:rsidP="00B03EA0">
      <w:pPr>
        <w:spacing w:after="0"/>
        <w:jc w:val="both"/>
        <w:rPr>
          <w:sz w:val="20"/>
          <w:szCs w:val="20"/>
        </w:rPr>
      </w:pPr>
    </w:p>
    <w:p w14:paraId="369D1612" w14:textId="4BAA40A8" w:rsidR="00C36481" w:rsidRPr="005C6C49" w:rsidRDefault="00C36481" w:rsidP="00C36481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7B7FFA">
        <w:rPr>
          <w:sz w:val="20"/>
          <w:szCs w:val="20"/>
        </w:rPr>
        <w:t>Le chapitre 7</w:t>
      </w:r>
      <w:r>
        <w:rPr>
          <w:sz w:val="20"/>
          <w:szCs w:val="20"/>
        </w:rPr>
        <w:t>3</w:t>
      </w:r>
      <w:r w:rsidR="008518EF">
        <w:rPr>
          <w:sz w:val="20"/>
          <w:szCs w:val="20"/>
        </w:rPr>
        <w:t>1</w:t>
      </w:r>
      <w:r w:rsidRPr="007B7FFA">
        <w:rPr>
          <w:sz w:val="20"/>
          <w:szCs w:val="20"/>
        </w:rPr>
        <w:t xml:space="preserve"> regroupe également</w:t>
      </w:r>
      <w:r w:rsidR="00545D56">
        <w:rPr>
          <w:sz w:val="20"/>
          <w:szCs w:val="20"/>
        </w:rPr>
        <w:t> </w:t>
      </w:r>
      <w:r w:rsidR="00185AE4">
        <w:rPr>
          <w:sz w:val="20"/>
          <w:szCs w:val="20"/>
        </w:rPr>
        <w:t>l</w:t>
      </w:r>
      <w:r w:rsidR="0016452F">
        <w:rPr>
          <w:sz w:val="20"/>
          <w:szCs w:val="20"/>
        </w:rPr>
        <w:t>a taxe additionnelle</w:t>
      </w:r>
      <w:r w:rsidR="00185AE4">
        <w:rPr>
          <w:sz w:val="20"/>
          <w:szCs w:val="20"/>
        </w:rPr>
        <w:t xml:space="preserve"> </w:t>
      </w:r>
      <w:r w:rsidR="00697CFC" w:rsidRPr="005C6C49">
        <w:rPr>
          <w:rFonts w:cstheme="minorHAnsi"/>
          <w:color w:val="474747"/>
          <w:sz w:val="20"/>
          <w:szCs w:val="20"/>
          <w:shd w:val="clear" w:color="auto" w:fill="FFFFFF"/>
        </w:rPr>
        <w:t>aux droits de mutation</w:t>
      </w:r>
      <w:r w:rsidR="005C6C49">
        <w:rPr>
          <w:rFonts w:cstheme="minorHAnsi"/>
          <w:color w:val="474747"/>
          <w:sz w:val="20"/>
          <w:szCs w:val="20"/>
          <w:shd w:val="clear" w:color="auto" w:fill="FFFFFF"/>
        </w:rPr>
        <w:t xml:space="preserve"> (qui </w:t>
      </w:r>
      <w:r w:rsidR="00697CFC" w:rsidRPr="005C6C49">
        <w:rPr>
          <w:rFonts w:cstheme="minorHAnsi"/>
          <w:color w:val="040C28"/>
          <w:sz w:val="20"/>
          <w:szCs w:val="20"/>
        </w:rPr>
        <w:t>s'applique aux mutations onéreuses de biens immobiliers et mobiliers</w:t>
      </w:r>
      <w:r w:rsidR="005C6C49">
        <w:rPr>
          <w:rFonts w:cstheme="minorHAnsi"/>
          <w:color w:val="040C28"/>
          <w:sz w:val="20"/>
          <w:szCs w:val="20"/>
        </w:rPr>
        <w:t>, e</w:t>
      </w:r>
      <w:r w:rsidR="00697CFC" w:rsidRPr="005C6C49">
        <w:rPr>
          <w:rFonts w:cstheme="minorHAnsi"/>
          <w:color w:val="474747"/>
          <w:sz w:val="20"/>
          <w:szCs w:val="20"/>
          <w:shd w:val="clear" w:color="auto" w:fill="FFFFFF"/>
        </w:rPr>
        <w:t>lle est perçue par les communes</w:t>
      </w:r>
      <w:r w:rsidR="005C6C49">
        <w:rPr>
          <w:rFonts w:cstheme="minorHAnsi"/>
          <w:color w:val="474747"/>
          <w:sz w:val="20"/>
          <w:szCs w:val="20"/>
          <w:shd w:val="clear" w:color="auto" w:fill="FFFFFF"/>
        </w:rPr>
        <w:t>)</w:t>
      </w:r>
      <w:r w:rsidR="00697CFC" w:rsidRPr="005C6C49">
        <w:rPr>
          <w:rFonts w:cstheme="minorHAnsi"/>
          <w:color w:val="474747"/>
          <w:sz w:val="20"/>
          <w:szCs w:val="20"/>
          <w:shd w:val="clear" w:color="auto" w:fill="FFFFFF"/>
        </w:rPr>
        <w:t xml:space="preserve"> </w:t>
      </w:r>
      <w:r w:rsidR="00185AE4" w:rsidRPr="005C6C49">
        <w:rPr>
          <w:rFonts w:cstheme="minorHAnsi"/>
          <w:sz w:val="20"/>
          <w:szCs w:val="20"/>
        </w:rPr>
        <w:t xml:space="preserve">pour un montant de </w:t>
      </w:r>
      <w:r w:rsidR="008518EF" w:rsidRPr="005C6C49">
        <w:rPr>
          <w:rFonts w:cstheme="minorHAnsi"/>
          <w:sz w:val="20"/>
          <w:szCs w:val="20"/>
        </w:rPr>
        <w:t>12 236,16 €</w:t>
      </w:r>
      <w:r w:rsidRPr="005C6C49">
        <w:rPr>
          <w:rFonts w:cstheme="minorHAnsi"/>
          <w:i/>
          <w:iCs/>
          <w:color w:val="7030A0"/>
          <w:sz w:val="20"/>
          <w:szCs w:val="20"/>
        </w:rPr>
        <w:t>.</w:t>
      </w:r>
    </w:p>
    <w:p w14:paraId="4364721A" w14:textId="77777777" w:rsidR="00C36481" w:rsidRDefault="00C36481" w:rsidP="003C0F6F">
      <w:pPr>
        <w:pStyle w:val="Paragraphedeliste"/>
        <w:spacing w:after="0" w:line="240" w:lineRule="auto"/>
        <w:jc w:val="both"/>
        <w:rPr>
          <w:b/>
          <w:bCs/>
          <w:sz w:val="20"/>
          <w:szCs w:val="20"/>
          <w:u w:val="single"/>
        </w:rPr>
      </w:pPr>
    </w:p>
    <w:p w14:paraId="7F7A26CF" w14:textId="36A34ED8" w:rsidR="003C0F6F" w:rsidRPr="007B7FFA" w:rsidRDefault="00185AE4" w:rsidP="003C0F6F">
      <w:pPr>
        <w:pStyle w:val="Paragraphedeliste"/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5</w:t>
      </w:r>
      <w:r w:rsidR="00E405C8" w:rsidRPr="007B7FFA">
        <w:rPr>
          <w:b/>
          <w:bCs/>
          <w:sz w:val="20"/>
          <w:szCs w:val="20"/>
          <w:u w:val="single"/>
        </w:rPr>
        <w:t xml:space="preserve">) </w:t>
      </w:r>
      <w:r w:rsidR="003C0F6F" w:rsidRPr="007B7FFA">
        <w:rPr>
          <w:b/>
          <w:bCs/>
          <w:sz w:val="20"/>
          <w:szCs w:val="20"/>
          <w:u w:val="single"/>
        </w:rPr>
        <w:t>Le</w:t>
      </w:r>
      <w:r w:rsidR="00EA4C8F" w:rsidRPr="007B7FFA">
        <w:rPr>
          <w:b/>
          <w:bCs/>
          <w:sz w:val="20"/>
          <w:szCs w:val="20"/>
          <w:u w:val="single"/>
        </w:rPr>
        <w:t xml:space="preserve">s dotations, subvention et participations </w:t>
      </w:r>
      <w:r w:rsidR="003C0F6F" w:rsidRPr="007B7FFA">
        <w:rPr>
          <w:b/>
          <w:bCs/>
          <w:sz w:val="20"/>
          <w:szCs w:val="20"/>
          <w:u w:val="single"/>
        </w:rPr>
        <w:t>(chapitre 7</w:t>
      </w:r>
      <w:r w:rsidR="00EA4C8F" w:rsidRPr="007B7FFA">
        <w:rPr>
          <w:b/>
          <w:bCs/>
          <w:sz w:val="20"/>
          <w:szCs w:val="20"/>
          <w:u w:val="single"/>
        </w:rPr>
        <w:t>4</w:t>
      </w:r>
      <w:r w:rsidR="003C0F6F" w:rsidRPr="007B7FFA">
        <w:rPr>
          <w:b/>
          <w:bCs/>
          <w:sz w:val="20"/>
          <w:szCs w:val="20"/>
          <w:u w:val="single"/>
        </w:rPr>
        <w:t xml:space="preserve">) </w:t>
      </w:r>
    </w:p>
    <w:p w14:paraId="209D35E0" w14:textId="14F2EF1F" w:rsidR="0016452F" w:rsidRDefault="00CE2FEE" w:rsidP="00830187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>Le chapitre 74 regroupe</w:t>
      </w:r>
      <w:r w:rsidR="0016452F">
        <w:rPr>
          <w:sz w:val="20"/>
          <w:szCs w:val="20"/>
        </w:rPr>
        <w:t xml:space="preserve"> : </w:t>
      </w:r>
      <w:r w:rsidR="008C25E2">
        <w:rPr>
          <w:sz w:val="20"/>
          <w:szCs w:val="20"/>
        </w:rPr>
        <w:t xml:space="preserve">la dotation globale de fonctionnement </w:t>
      </w:r>
      <w:r w:rsidR="0016452F">
        <w:rPr>
          <w:sz w:val="20"/>
          <w:szCs w:val="20"/>
        </w:rPr>
        <w:t xml:space="preserve">la dotation </w:t>
      </w:r>
      <w:r w:rsidR="005C6C49">
        <w:rPr>
          <w:sz w:val="20"/>
          <w:szCs w:val="20"/>
        </w:rPr>
        <w:t>aux élus locaux</w:t>
      </w:r>
      <w:r w:rsidR="0016452F">
        <w:rPr>
          <w:sz w:val="20"/>
          <w:szCs w:val="20"/>
        </w:rPr>
        <w:t>, le FCTVA, les participations des communes notamment le remboursement des ATSEMS mises à disposition du SIVU, l’attribution du fonds départemental</w:t>
      </w:r>
      <w:r w:rsidR="005C6C49">
        <w:rPr>
          <w:sz w:val="20"/>
          <w:szCs w:val="20"/>
        </w:rPr>
        <w:t xml:space="preserve"> et </w:t>
      </w:r>
      <w:r w:rsidR="0016452F">
        <w:rPr>
          <w:sz w:val="20"/>
          <w:szCs w:val="20"/>
        </w:rPr>
        <w:t>les compensations des impôts locaux</w:t>
      </w:r>
      <w:r w:rsidR="00B5647B">
        <w:rPr>
          <w:sz w:val="20"/>
          <w:szCs w:val="20"/>
        </w:rPr>
        <w:t>, pour un montant de 408 347,64 €.</w:t>
      </w:r>
    </w:p>
    <w:p w14:paraId="4A289B34" w14:textId="77777777" w:rsidR="00830187" w:rsidRPr="007B7FFA" w:rsidRDefault="00830187" w:rsidP="00830187">
      <w:pPr>
        <w:spacing w:after="0" w:line="240" w:lineRule="auto"/>
        <w:jc w:val="both"/>
        <w:rPr>
          <w:sz w:val="20"/>
          <w:szCs w:val="20"/>
        </w:rPr>
      </w:pPr>
    </w:p>
    <w:p w14:paraId="12D70903" w14:textId="55C1AB1E" w:rsidR="00E405C8" w:rsidRPr="007B7FFA" w:rsidRDefault="00185AE4" w:rsidP="00E405C8">
      <w:pPr>
        <w:pStyle w:val="Paragraphedeliste"/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6</w:t>
      </w:r>
      <w:r w:rsidR="00E405C8" w:rsidRPr="007B7FFA">
        <w:rPr>
          <w:b/>
          <w:bCs/>
          <w:sz w:val="20"/>
          <w:szCs w:val="20"/>
          <w:u w:val="single"/>
        </w:rPr>
        <w:t xml:space="preserve">) Les autres produits de gestion courante (chapitre 75) </w:t>
      </w:r>
    </w:p>
    <w:p w14:paraId="5E8179E0" w14:textId="5E7CF257" w:rsidR="00830187" w:rsidRPr="007B7FFA" w:rsidRDefault="007B7FFA" w:rsidP="00830187">
      <w:pPr>
        <w:spacing w:after="0" w:line="240" w:lineRule="auto"/>
        <w:jc w:val="both"/>
        <w:rPr>
          <w:sz w:val="20"/>
          <w:szCs w:val="20"/>
        </w:rPr>
      </w:pPr>
      <w:r w:rsidRPr="007B7FFA">
        <w:rPr>
          <w:sz w:val="20"/>
          <w:szCs w:val="20"/>
        </w:rPr>
        <w:t xml:space="preserve">Il s’agit notamment des loyers encaissés. Le montant </w:t>
      </w:r>
      <w:r>
        <w:rPr>
          <w:sz w:val="20"/>
          <w:szCs w:val="20"/>
        </w:rPr>
        <w:t xml:space="preserve">des loyers encaissés en </w:t>
      </w:r>
      <w:r w:rsidR="00B54843">
        <w:rPr>
          <w:sz w:val="20"/>
          <w:szCs w:val="20"/>
        </w:rPr>
        <w:t>2025</w:t>
      </w:r>
      <w:r w:rsidR="0016452F">
        <w:rPr>
          <w:sz w:val="20"/>
          <w:szCs w:val="20"/>
        </w:rPr>
        <w:t xml:space="preserve"> </w:t>
      </w:r>
      <w:r w:rsidRPr="007B7FFA">
        <w:rPr>
          <w:sz w:val="20"/>
          <w:szCs w:val="20"/>
        </w:rPr>
        <w:t xml:space="preserve">est de </w:t>
      </w:r>
      <w:r w:rsidR="005C6C49">
        <w:rPr>
          <w:sz w:val="20"/>
          <w:szCs w:val="20"/>
        </w:rPr>
        <w:t>92 312,92 €</w:t>
      </w:r>
      <w:r>
        <w:rPr>
          <w:sz w:val="20"/>
          <w:szCs w:val="20"/>
        </w:rPr>
        <w:t xml:space="preserve"> (</w:t>
      </w:r>
      <w:r w:rsidR="00D07ADB">
        <w:rPr>
          <w:sz w:val="20"/>
          <w:szCs w:val="20"/>
        </w:rPr>
        <w:t xml:space="preserve">montant </w:t>
      </w:r>
      <w:r w:rsidR="008C25E2">
        <w:rPr>
          <w:sz w:val="20"/>
          <w:szCs w:val="20"/>
        </w:rPr>
        <w:t xml:space="preserve">en </w:t>
      </w:r>
      <w:r w:rsidR="0016452F">
        <w:rPr>
          <w:sz w:val="20"/>
          <w:szCs w:val="20"/>
        </w:rPr>
        <w:t>augmentation p</w:t>
      </w:r>
      <w:r>
        <w:rPr>
          <w:sz w:val="20"/>
          <w:szCs w:val="20"/>
        </w:rPr>
        <w:t>ar rapport à 20</w:t>
      </w:r>
      <w:r w:rsidR="001306BB">
        <w:rPr>
          <w:sz w:val="20"/>
          <w:szCs w:val="20"/>
        </w:rPr>
        <w:t>2</w:t>
      </w:r>
      <w:r w:rsidR="005C6C49">
        <w:rPr>
          <w:sz w:val="20"/>
          <w:szCs w:val="20"/>
        </w:rPr>
        <w:t>3</w:t>
      </w:r>
      <w:r w:rsidR="001306BB">
        <w:rPr>
          <w:sz w:val="20"/>
          <w:szCs w:val="20"/>
        </w:rPr>
        <w:t xml:space="preserve"> </w:t>
      </w:r>
      <w:r>
        <w:rPr>
          <w:sz w:val="20"/>
          <w:szCs w:val="20"/>
        </w:rPr>
        <w:t>et 20</w:t>
      </w:r>
      <w:r w:rsidR="00C36481">
        <w:rPr>
          <w:sz w:val="20"/>
          <w:szCs w:val="20"/>
        </w:rPr>
        <w:t>2</w:t>
      </w:r>
      <w:r w:rsidR="005C6C49">
        <w:rPr>
          <w:sz w:val="20"/>
          <w:szCs w:val="20"/>
        </w:rPr>
        <w:t>4</w:t>
      </w:r>
      <w:r>
        <w:rPr>
          <w:sz w:val="20"/>
          <w:szCs w:val="20"/>
        </w:rPr>
        <w:t>).</w:t>
      </w:r>
    </w:p>
    <w:p w14:paraId="1EE526A2" w14:textId="77777777" w:rsidR="007B7FFA" w:rsidRDefault="007B7FFA" w:rsidP="00CE2FEE">
      <w:pPr>
        <w:spacing w:after="0" w:line="240" w:lineRule="auto"/>
      </w:pPr>
    </w:p>
    <w:p w14:paraId="53563BF7" w14:textId="77777777" w:rsidR="00751428" w:rsidRDefault="00751428" w:rsidP="00CE2FEE">
      <w:pPr>
        <w:spacing w:after="0" w:line="240" w:lineRule="auto"/>
      </w:pPr>
    </w:p>
    <w:p w14:paraId="00D588C4" w14:textId="77777777" w:rsidR="00751428" w:rsidRDefault="00751428" w:rsidP="00CE2FEE">
      <w:pPr>
        <w:spacing w:after="0" w:line="240" w:lineRule="auto"/>
      </w:pPr>
    </w:p>
    <w:p w14:paraId="7D7033C7" w14:textId="77777777" w:rsidR="00751428" w:rsidRDefault="00751428" w:rsidP="00CE2FEE">
      <w:pPr>
        <w:spacing w:after="0" w:line="240" w:lineRule="auto"/>
      </w:pPr>
    </w:p>
    <w:p w14:paraId="32EE5221" w14:textId="77777777" w:rsidR="00751428" w:rsidRDefault="00751428" w:rsidP="00CE2FEE">
      <w:pPr>
        <w:spacing w:after="0" w:line="240" w:lineRule="auto"/>
      </w:pPr>
    </w:p>
    <w:p w14:paraId="2DE74BCF" w14:textId="77777777" w:rsidR="00751428" w:rsidRDefault="00751428" w:rsidP="00CE2FEE">
      <w:pPr>
        <w:spacing w:after="0" w:line="240" w:lineRule="auto"/>
      </w:pPr>
    </w:p>
    <w:p w14:paraId="3AEF66E6" w14:textId="77777777" w:rsidR="00751428" w:rsidRDefault="00751428" w:rsidP="00CE2FEE">
      <w:pPr>
        <w:spacing w:after="0" w:line="240" w:lineRule="auto"/>
      </w:pPr>
    </w:p>
    <w:p w14:paraId="1CD4572E" w14:textId="77777777" w:rsidR="00751428" w:rsidRDefault="00751428" w:rsidP="00CE2FEE">
      <w:pPr>
        <w:spacing w:after="0" w:line="240" w:lineRule="auto"/>
      </w:pPr>
    </w:p>
    <w:p w14:paraId="2C16EEB2" w14:textId="77777777" w:rsidR="00751428" w:rsidRDefault="00751428" w:rsidP="00CE2FEE">
      <w:pPr>
        <w:spacing w:after="0" w:line="240" w:lineRule="auto"/>
      </w:pPr>
    </w:p>
    <w:p w14:paraId="6F932686" w14:textId="77777777" w:rsidR="00751428" w:rsidRDefault="00751428" w:rsidP="00CE2FEE">
      <w:pPr>
        <w:spacing w:after="0" w:line="240" w:lineRule="auto"/>
      </w:pPr>
    </w:p>
    <w:p w14:paraId="71FF00AE" w14:textId="77777777" w:rsidR="00751428" w:rsidRDefault="00751428" w:rsidP="00CE2FEE">
      <w:pPr>
        <w:spacing w:after="0" w:line="240" w:lineRule="auto"/>
      </w:pPr>
    </w:p>
    <w:p w14:paraId="07B9ADE2" w14:textId="77777777" w:rsidR="00751428" w:rsidRDefault="00751428" w:rsidP="00CE2FEE">
      <w:pPr>
        <w:spacing w:after="0" w:line="240" w:lineRule="auto"/>
      </w:pPr>
    </w:p>
    <w:p w14:paraId="14C54DB9" w14:textId="77777777" w:rsidR="00751428" w:rsidRDefault="00751428" w:rsidP="00CE2FEE">
      <w:pPr>
        <w:spacing w:after="0" w:line="240" w:lineRule="auto"/>
      </w:pPr>
    </w:p>
    <w:p w14:paraId="5807D13E" w14:textId="77777777" w:rsidR="00041CA5" w:rsidRPr="007B7FFA" w:rsidRDefault="00041CA5" w:rsidP="00041CA5">
      <w:pPr>
        <w:jc w:val="center"/>
        <w:rPr>
          <w:b/>
          <w:bCs/>
          <w:sz w:val="20"/>
          <w:szCs w:val="20"/>
        </w:rPr>
      </w:pPr>
      <w:r w:rsidRPr="007B7FFA">
        <w:rPr>
          <w:b/>
          <w:bCs/>
          <w:sz w:val="20"/>
          <w:szCs w:val="20"/>
        </w:rPr>
        <w:t xml:space="preserve">Récapitulatif des </w:t>
      </w:r>
      <w:r>
        <w:rPr>
          <w:b/>
          <w:bCs/>
          <w:sz w:val="20"/>
          <w:szCs w:val="20"/>
        </w:rPr>
        <w:t>recettes</w:t>
      </w:r>
      <w:r w:rsidRPr="007B7FFA">
        <w:rPr>
          <w:b/>
          <w:bCs/>
          <w:sz w:val="20"/>
          <w:szCs w:val="20"/>
        </w:rPr>
        <w:t xml:space="preserve"> de fonctionnement</w:t>
      </w:r>
    </w:p>
    <w:tbl>
      <w:tblPr>
        <w:tblW w:w="81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40"/>
        <w:gridCol w:w="1740"/>
        <w:gridCol w:w="1660"/>
        <w:gridCol w:w="1857"/>
      </w:tblGrid>
      <w:tr w:rsidR="00AC622D" w:rsidRPr="00FB3E75" w14:paraId="00597333" w14:textId="77777777" w:rsidTr="00AC622D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EF320CC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Chapitres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03E13D2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Intitulés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88B0D5F" w14:textId="52BC9939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CA 20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98CC430" w14:textId="66655742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CA 20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84F34A3" w14:textId="18F3703A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CA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2025</w:t>
            </w:r>
          </w:p>
        </w:tc>
      </w:tr>
      <w:tr w:rsidR="00AC622D" w:rsidRPr="00FB3E75" w14:paraId="2CBEFD09" w14:textId="77777777" w:rsidTr="00AC622D">
        <w:trPr>
          <w:trHeight w:val="9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5126B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R00</w:t>
            </w: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050C4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Excédent de fonctionnement reporté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73268" w14:textId="40F34D62" w:rsidR="00AC622D" w:rsidRPr="00FB3E75" w:rsidRDefault="00AC622D" w:rsidP="004B3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1 622 917,07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570BF" w14:textId="62CA824D" w:rsidR="00AC622D" w:rsidRPr="00FB3E75" w:rsidRDefault="00AC622D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2 002 077,73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330FA" w14:textId="3EF9F672" w:rsidR="00AC622D" w:rsidRPr="00FB3E75" w:rsidRDefault="0039035A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2 333 933,91</w:t>
            </w:r>
          </w:p>
        </w:tc>
      </w:tr>
      <w:tr w:rsidR="00AC622D" w:rsidRPr="00FB3E75" w14:paraId="24ED842D" w14:textId="77777777" w:rsidTr="00AC622D">
        <w:trPr>
          <w:trHeight w:val="6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DFBAA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C87D7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Atténuation de charges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43033" w14:textId="119510A4" w:rsidR="00AC622D" w:rsidRPr="00FB3E75" w:rsidRDefault="00AC622D" w:rsidP="004B3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19 677,64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A0059" w14:textId="2568158D" w:rsidR="00AC622D" w:rsidRPr="00FB3E75" w:rsidRDefault="00AC622D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21 387,11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C3EC8" w14:textId="3734E2F3" w:rsidR="00AC622D" w:rsidRPr="00FB3E75" w:rsidRDefault="0039035A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3 000,00</w:t>
            </w:r>
          </w:p>
        </w:tc>
      </w:tr>
      <w:tr w:rsidR="00AC622D" w:rsidRPr="00FB3E75" w14:paraId="028C67CB" w14:textId="77777777" w:rsidTr="00AC622D">
        <w:trPr>
          <w:trHeight w:val="6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483DF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3CD77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Produits des services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E24B2" w14:textId="212CD04C" w:rsidR="00AC622D" w:rsidRPr="00FB3E75" w:rsidRDefault="00AC622D" w:rsidP="004B3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71 974,44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2B208" w14:textId="3617E28D" w:rsidR="00AC622D" w:rsidRPr="00FB3E75" w:rsidRDefault="00AC622D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152 859,69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4AFEE" w14:textId="65F6B62A" w:rsidR="00AC622D" w:rsidRPr="00FB3E75" w:rsidRDefault="0039035A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42 037,97</w:t>
            </w:r>
          </w:p>
        </w:tc>
      </w:tr>
      <w:tr w:rsidR="00AC622D" w:rsidRPr="00FB3E75" w14:paraId="5F428EF5" w14:textId="77777777" w:rsidTr="00AC622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682E1" w14:textId="009AAF5D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et 731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7CB0E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Impôts et taxes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5B658" w14:textId="1EE7A10A" w:rsidR="00AC622D" w:rsidRPr="00FB3E75" w:rsidRDefault="00AC622D" w:rsidP="004B3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613 226,58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13B24" w14:textId="5C998A17" w:rsidR="00AC622D" w:rsidRPr="00FB3E75" w:rsidRDefault="00AC622D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823 021,78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6A082" w14:textId="57424D51" w:rsidR="00AC622D" w:rsidRPr="00FB3E75" w:rsidRDefault="0039035A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654 495,95</w:t>
            </w:r>
          </w:p>
        </w:tc>
      </w:tr>
      <w:tr w:rsidR="00AC622D" w:rsidRPr="00FB3E75" w14:paraId="49E74FA2" w14:textId="77777777" w:rsidTr="00AC622D">
        <w:trPr>
          <w:trHeight w:val="6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3250C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1013F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Dotations et participations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99718" w14:textId="1C3B3560" w:rsidR="00AC622D" w:rsidRPr="00FB3E75" w:rsidRDefault="00AC622D" w:rsidP="004B3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201 957,36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638F5" w14:textId="53F0839C" w:rsidR="00AC622D" w:rsidRPr="00FB3E75" w:rsidRDefault="00AC622D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284 100,16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3BC31" w14:textId="55672824" w:rsidR="00AC622D" w:rsidRPr="00F54455" w:rsidRDefault="0039035A" w:rsidP="00AC622D">
            <w:pPr>
              <w:pStyle w:val="Paragraphedeliste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408 347,64</w:t>
            </w:r>
          </w:p>
        </w:tc>
      </w:tr>
      <w:tr w:rsidR="00AC622D" w:rsidRPr="00FB3E75" w14:paraId="4619AA38" w14:textId="77777777" w:rsidTr="00AC622D">
        <w:trPr>
          <w:trHeight w:val="6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6E5F9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15F6B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Autres produits (dont loyers)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65D2B" w14:textId="20B21A03" w:rsidR="00AC622D" w:rsidRPr="00FB3E75" w:rsidRDefault="00AC622D" w:rsidP="004B3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79 558,92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11789" w14:textId="46943B6B" w:rsidR="00AC622D" w:rsidRPr="00FB3E75" w:rsidRDefault="00AC622D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91 741,90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09F3D" w14:textId="4C32CFCC" w:rsidR="00AC622D" w:rsidRPr="00FB3E75" w:rsidRDefault="0039035A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92 312,92</w:t>
            </w:r>
          </w:p>
        </w:tc>
      </w:tr>
      <w:tr w:rsidR="00AC622D" w:rsidRPr="00FB3E75" w14:paraId="519292E4" w14:textId="77777777" w:rsidTr="00AC622D">
        <w:trPr>
          <w:trHeight w:val="6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3FB29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74569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3E75">
              <w:rPr>
                <w:rFonts w:ascii="Calibri" w:eastAsia="Times New Roman" w:hAnsi="Calibri" w:cs="Times New Roman"/>
                <w:color w:val="000000"/>
                <w:lang w:eastAsia="fr-FR"/>
              </w:rPr>
              <w:t>Produits exceptionnels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EAE1A" w14:textId="65572DF5" w:rsidR="00AC622D" w:rsidRPr="00FB3E75" w:rsidRDefault="00AC622D" w:rsidP="004B3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1 051,70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49F715" w14:textId="0AD48DDB" w:rsidR="00AC622D" w:rsidRPr="00FB3E75" w:rsidRDefault="00AC622D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49 726,78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8C017" w14:textId="2AF1A57B" w:rsidR="00AC622D" w:rsidRPr="00FB3E75" w:rsidRDefault="0039035A" w:rsidP="00FB3E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0,00</w:t>
            </w:r>
          </w:p>
        </w:tc>
      </w:tr>
      <w:tr w:rsidR="00AC622D" w:rsidRPr="00FB3E75" w14:paraId="03CB693C" w14:textId="77777777" w:rsidTr="00AC622D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A1F26" w14:textId="77777777" w:rsidR="00AC622D" w:rsidRPr="00FB3E75" w:rsidRDefault="00AC622D" w:rsidP="00FB3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9EB58" w14:textId="77777777" w:rsidR="00AC622D" w:rsidRPr="00FB3E75" w:rsidRDefault="00AC622D" w:rsidP="00FB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6503B" w14:textId="77777777" w:rsidR="00AC622D" w:rsidRDefault="00AC622D" w:rsidP="00FB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DB0C94B" w14:textId="77777777" w:rsidR="00AC622D" w:rsidRDefault="00AC622D" w:rsidP="00FB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226FE6A" w14:textId="77777777" w:rsidR="00AC622D" w:rsidRDefault="00AC622D" w:rsidP="00FB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CFAFCE0" w14:textId="77777777" w:rsidR="00AC622D" w:rsidRDefault="00AC622D" w:rsidP="00FB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3C40B72" w14:textId="77777777" w:rsidR="00AC622D" w:rsidRPr="00FB3E75" w:rsidRDefault="00AC622D" w:rsidP="00FB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7E7BD" w14:textId="77777777" w:rsidR="00AC622D" w:rsidRPr="00FB3E75" w:rsidRDefault="00AC622D" w:rsidP="00FB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1F08A" w14:textId="77777777" w:rsidR="00AC622D" w:rsidRPr="00FB3E75" w:rsidRDefault="00AC622D" w:rsidP="00FB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2D90C7AA" w14:textId="77777777" w:rsidR="00B608FC" w:rsidRPr="007B7FFA" w:rsidRDefault="00B608FC" w:rsidP="00B608FC">
      <w:pPr>
        <w:shd w:val="clear" w:color="auto" w:fill="002060"/>
        <w:rPr>
          <w:b/>
          <w:bCs/>
          <w:color w:val="FFFFFF" w:themeColor="background1"/>
          <w:sz w:val="20"/>
          <w:szCs w:val="20"/>
        </w:rPr>
      </w:pPr>
      <w:r>
        <w:rPr>
          <w:b/>
          <w:bCs/>
          <w:color w:val="FFFFFF" w:themeColor="background1"/>
          <w:sz w:val="20"/>
          <w:szCs w:val="20"/>
        </w:rPr>
        <w:t>2</w:t>
      </w:r>
      <w:r w:rsidRPr="007B7FFA">
        <w:rPr>
          <w:b/>
          <w:bCs/>
          <w:color w:val="FFFFFF" w:themeColor="background1"/>
          <w:sz w:val="20"/>
          <w:szCs w:val="20"/>
        </w:rPr>
        <w:t>. La section d</w:t>
      </w:r>
      <w:r>
        <w:rPr>
          <w:b/>
          <w:bCs/>
          <w:color w:val="FFFFFF" w:themeColor="background1"/>
          <w:sz w:val="20"/>
          <w:szCs w:val="20"/>
        </w:rPr>
        <w:t>’investissement</w:t>
      </w:r>
    </w:p>
    <w:p w14:paraId="26488652" w14:textId="77777777" w:rsidR="00B608FC" w:rsidRPr="007B7FFA" w:rsidRDefault="00B608FC" w:rsidP="00B608FC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Pr="007B7FFA">
        <w:rPr>
          <w:b/>
          <w:bCs/>
          <w:sz w:val="20"/>
          <w:szCs w:val="20"/>
        </w:rPr>
        <w:t>.1 Résultat</w:t>
      </w:r>
    </w:p>
    <w:p w14:paraId="4755CF28" w14:textId="1DFC1DF4" w:rsidR="00B608FC" w:rsidRDefault="00B608FC" w:rsidP="00B608FC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</w:rPr>
      </w:pPr>
      <w:r w:rsidRPr="007B7FFA">
        <w:rPr>
          <w:b/>
          <w:bCs/>
          <w:sz w:val="20"/>
          <w:szCs w:val="20"/>
        </w:rPr>
        <w:t>a) Résultats d</w:t>
      </w:r>
      <w:r>
        <w:rPr>
          <w:b/>
          <w:bCs/>
          <w:sz w:val="20"/>
          <w:szCs w:val="20"/>
        </w:rPr>
        <w:t xml:space="preserve">’investissement </w:t>
      </w:r>
      <w:r w:rsidRPr="007B7FFA">
        <w:rPr>
          <w:b/>
          <w:bCs/>
          <w:sz w:val="20"/>
          <w:szCs w:val="20"/>
        </w:rPr>
        <w:t xml:space="preserve">pour l’année </w:t>
      </w:r>
      <w:r w:rsidR="00B54843">
        <w:rPr>
          <w:b/>
          <w:bCs/>
          <w:sz w:val="20"/>
          <w:szCs w:val="20"/>
        </w:rPr>
        <w:t>2025</w:t>
      </w:r>
    </w:p>
    <w:p w14:paraId="41F9036E" w14:textId="77777777" w:rsidR="006102B1" w:rsidRPr="007B7FFA" w:rsidRDefault="006102B1" w:rsidP="00B608FC">
      <w:pPr>
        <w:shd w:val="clear" w:color="auto" w:fill="FFFFFF" w:themeFill="background1"/>
        <w:spacing w:after="0" w:line="240" w:lineRule="auto"/>
        <w:rPr>
          <w:b/>
          <w:bCs/>
          <w:sz w:val="20"/>
          <w:szCs w:val="20"/>
        </w:rPr>
      </w:pPr>
    </w:p>
    <w:tbl>
      <w:tblPr>
        <w:tblStyle w:val="Grilledutableau"/>
        <w:tblW w:w="6799" w:type="dxa"/>
        <w:tblLook w:val="04A0" w:firstRow="1" w:lastRow="0" w:firstColumn="1" w:lastColumn="0" w:noHBand="0" w:noVBand="1"/>
      </w:tblPr>
      <w:tblGrid>
        <w:gridCol w:w="4299"/>
        <w:gridCol w:w="296"/>
        <w:gridCol w:w="2204"/>
      </w:tblGrid>
      <w:tr w:rsidR="00B608FC" w:rsidRPr="007B7FFA" w14:paraId="7500A324" w14:textId="77777777" w:rsidTr="0039035A">
        <w:trPr>
          <w:trHeight w:val="344"/>
        </w:trPr>
        <w:tc>
          <w:tcPr>
            <w:tcW w:w="4299" w:type="dxa"/>
            <w:tcBorders>
              <w:right w:val="single" w:sz="4" w:space="0" w:color="auto"/>
            </w:tcBorders>
          </w:tcPr>
          <w:p w14:paraId="09055AE5" w14:textId="77777777" w:rsidR="00B608FC" w:rsidRPr="007B7FFA" w:rsidRDefault="00B608FC" w:rsidP="006102B1">
            <w:pPr>
              <w:jc w:val="both"/>
              <w:rPr>
                <w:sz w:val="20"/>
                <w:szCs w:val="20"/>
              </w:rPr>
            </w:pPr>
            <w:r w:rsidRPr="007B7FFA">
              <w:rPr>
                <w:sz w:val="20"/>
                <w:szCs w:val="20"/>
              </w:rPr>
              <w:t>Recettes d</w:t>
            </w:r>
            <w:r>
              <w:rPr>
                <w:sz w:val="20"/>
                <w:szCs w:val="20"/>
              </w:rPr>
              <w:t>’investissement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7CC50E" w14:textId="77777777" w:rsidR="00B608FC" w:rsidRPr="007B7FFA" w:rsidRDefault="00B608FC" w:rsidP="00610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A076F7" w14:textId="6E93B936" w:rsidR="00B608FC" w:rsidRPr="007B7FFA" w:rsidRDefault="0039035A" w:rsidP="006102B1">
            <w:pPr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567 598,06</w:t>
            </w:r>
            <w:r w:rsidR="00955AF8">
              <w:rPr>
                <w:i/>
                <w:iCs/>
                <w:color w:val="7030A0"/>
                <w:sz w:val="20"/>
                <w:szCs w:val="20"/>
              </w:rPr>
              <w:t xml:space="preserve"> €</w:t>
            </w:r>
          </w:p>
        </w:tc>
      </w:tr>
      <w:tr w:rsidR="00B608FC" w:rsidRPr="007B7FFA" w14:paraId="6BD2EC99" w14:textId="77777777" w:rsidTr="0039035A">
        <w:trPr>
          <w:trHeight w:val="420"/>
        </w:trPr>
        <w:tc>
          <w:tcPr>
            <w:tcW w:w="4299" w:type="dxa"/>
            <w:tcBorders>
              <w:bottom w:val="single" w:sz="4" w:space="0" w:color="auto"/>
              <w:right w:val="single" w:sz="4" w:space="0" w:color="auto"/>
            </w:tcBorders>
          </w:tcPr>
          <w:p w14:paraId="347F8BDF" w14:textId="77777777" w:rsidR="00B608FC" w:rsidRPr="007B7FFA" w:rsidRDefault="00B608FC" w:rsidP="006102B1">
            <w:pPr>
              <w:jc w:val="both"/>
              <w:rPr>
                <w:sz w:val="20"/>
                <w:szCs w:val="20"/>
              </w:rPr>
            </w:pPr>
            <w:r w:rsidRPr="007B7FFA">
              <w:rPr>
                <w:sz w:val="20"/>
                <w:szCs w:val="20"/>
              </w:rPr>
              <w:t xml:space="preserve">Dépenses </w:t>
            </w:r>
            <w:r w:rsidR="006102B1" w:rsidRPr="007B7FFA">
              <w:rPr>
                <w:sz w:val="20"/>
                <w:szCs w:val="20"/>
              </w:rPr>
              <w:t>d</w:t>
            </w:r>
            <w:r w:rsidR="006102B1">
              <w:rPr>
                <w:sz w:val="20"/>
                <w:szCs w:val="20"/>
              </w:rPr>
              <w:t>’investissement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25C427" w14:textId="77777777" w:rsidR="00B608FC" w:rsidRPr="007B7FFA" w:rsidRDefault="00B608FC" w:rsidP="006102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2D359" w14:textId="6C8D0DDE" w:rsidR="00B608FC" w:rsidRPr="007B7FFA" w:rsidRDefault="0039035A" w:rsidP="00955C62">
            <w:pPr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color w:val="7030A0"/>
                <w:sz w:val="20"/>
                <w:szCs w:val="20"/>
              </w:rPr>
              <w:t>709 528,97</w:t>
            </w:r>
            <w:r w:rsidR="00955AF8">
              <w:rPr>
                <w:i/>
                <w:iCs/>
                <w:color w:val="7030A0"/>
                <w:sz w:val="20"/>
                <w:szCs w:val="20"/>
              </w:rPr>
              <w:t xml:space="preserve"> €</w:t>
            </w:r>
          </w:p>
        </w:tc>
      </w:tr>
      <w:tr w:rsidR="00B608FC" w:rsidRPr="007B7FFA" w14:paraId="70CC033E" w14:textId="77777777" w:rsidTr="0039035A">
        <w:trPr>
          <w:trHeight w:val="412"/>
        </w:trPr>
        <w:tc>
          <w:tcPr>
            <w:tcW w:w="4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FBF" w14:textId="1CD21968" w:rsidR="00B608FC" w:rsidRPr="007B7FFA" w:rsidRDefault="00B608FC" w:rsidP="006102B1">
            <w:pPr>
              <w:jc w:val="both"/>
              <w:rPr>
                <w:sz w:val="20"/>
                <w:szCs w:val="20"/>
              </w:rPr>
            </w:pPr>
            <w:r w:rsidRPr="007B7FFA">
              <w:rPr>
                <w:sz w:val="20"/>
                <w:szCs w:val="20"/>
              </w:rPr>
              <w:t xml:space="preserve">Résultats de l’année </w:t>
            </w:r>
            <w:r w:rsidR="00B54843">
              <w:rPr>
                <w:sz w:val="20"/>
                <w:szCs w:val="20"/>
              </w:rPr>
              <w:t>2025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BC2719" w14:textId="77777777" w:rsidR="00B608FC" w:rsidRPr="007B7FFA" w:rsidRDefault="00B608FC" w:rsidP="00610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4B337" w14:textId="40EFC706" w:rsidR="00B608FC" w:rsidRPr="00955C62" w:rsidRDefault="0039035A" w:rsidP="00955C62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141 930,91</w:t>
            </w:r>
            <w:r w:rsidR="00955C62">
              <w:rPr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39035A" w:rsidRPr="007B7FFA" w14:paraId="072CFE2F" w14:textId="77777777" w:rsidTr="0039035A">
        <w:trPr>
          <w:trHeight w:val="412"/>
        </w:trPr>
        <w:tc>
          <w:tcPr>
            <w:tcW w:w="4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5CFB" w14:textId="1578E349" w:rsidR="0039035A" w:rsidRPr="007B7FFA" w:rsidRDefault="0039035A" w:rsidP="00610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Déficit reporté 2024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3F11B" w14:textId="77777777" w:rsidR="0039035A" w:rsidRPr="007B7FFA" w:rsidRDefault="0039035A" w:rsidP="00610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5968B" w14:textId="04EBD281" w:rsidR="0039035A" w:rsidRDefault="0039035A" w:rsidP="00955C62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232 654,22 €</w:t>
            </w:r>
          </w:p>
        </w:tc>
      </w:tr>
      <w:tr w:rsidR="0039035A" w:rsidRPr="007B7FFA" w14:paraId="2E5326A2" w14:textId="77777777" w:rsidTr="0039035A">
        <w:trPr>
          <w:trHeight w:val="412"/>
        </w:trPr>
        <w:tc>
          <w:tcPr>
            <w:tcW w:w="4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A66" w14:textId="5B723963" w:rsidR="0039035A" w:rsidRDefault="0039035A" w:rsidP="00610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 de clôture 2025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66B91" w14:textId="77777777" w:rsidR="0039035A" w:rsidRPr="007B7FFA" w:rsidRDefault="0039035A" w:rsidP="00610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98292" w14:textId="0978C5BD" w:rsidR="0039035A" w:rsidRDefault="0039035A" w:rsidP="00955C62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374 585,13 €</w:t>
            </w:r>
          </w:p>
        </w:tc>
      </w:tr>
    </w:tbl>
    <w:p w14:paraId="5DA55F8D" w14:textId="77777777" w:rsidR="002F6DD7" w:rsidRDefault="002F6DD7" w:rsidP="006102B1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94B2840" w14:textId="53024E4B" w:rsidR="00FB3E75" w:rsidRDefault="0039035A" w:rsidP="00F362B3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="006102B1" w:rsidRPr="006102B1">
        <w:rPr>
          <w:b/>
          <w:bCs/>
          <w:sz w:val="20"/>
          <w:szCs w:val="20"/>
        </w:rPr>
        <w:t>) Solde des restes à réaliser :</w:t>
      </w:r>
      <w:r w:rsidR="00955C62">
        <w:rPr>
          <w:b/>
          <w:bCs/>
          <w:sz w:val="20"/>
          <w:szCs w:val="20"/>
        </w:rPr>
        <w:t xml:space="preserve"> </w:t>
      </w:r>
      <w:r w:rsidR="005A59F8">
        <w:rPr>
          <w:b/>
          <w:bCs/>
          <w:sz w:val="20"/>
          <w:szCs w:val="20"/>
        </w:rPr>
        <w:tab/>
        <w:t xml:space="preserve">en dépense : </w:t>
      </w:r>
      <w:r w:rsidR="00C8776A">
        <w:rPr>
          <w:b/>
          <w:bCs/>
          <w:sz w:val="20"/>
          <w:szCs w:val="20"/>
        </w:rPr>
        <w:t>199</w:t>
      </w:r>
      <w:r w:rsidR="005A59F8">
        <w:rPr>
          <w:b/>
          <w:bCs/>
          <w:sz w:val="20"/>
          <w:szCs w:val="20"/>
        </w:rPr>
        <w:t> 905,43</w:t>
      </w:r>
      <w:r w:rsidR="00C36481" w:rsidRPr="00EB27B3">
        <w:rPr>
          <w:i/>
          <w:iCs/>
          <w:color w:val="7030A0"/>
          <w:sz w:val="20"/>
          <w:szCs w:val="20"/>
        </w:rPr>
        <w:t xml:space="preserve"> </w:t>
      </w:r>
      <w:r w:rsidR="006102B1" w:rsidRPr="006102B1">
        <w:rPr>
          <w:b/>
          <w:bCs/>
          <w:sz w:val="20"/>
          <w:szCs w:val="20"/>
        </w:rPr>
        <w:t>€</w:t>
      </w:r>
    </w:p>
    <w:p w14:paraId="7D13703B" w14:textId="7D0C80F1" w:rsidR="005A59F8" w:rsidRPr="006102B1" w:rsidRDefault="005A59F8" w:rsidP="00F362B3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en</w:t>
      </w:r>
      <w:proofErr w:type="gramEnd"/>
      <w:r>
        <w:rPr>
          <w:b/>
          <w:bCs/>
          <w:sz w:val="20"/>
          <w:szCs w:val="20"/>
        </w:rPr>
        <w:t xml:space="preserve"> recette :   102 230,00 €</w:t>
      </w:r>
    </w:p>
    <w:p w14:paraId="035420A8" w14:textId="77777777" w:rsidR="00F362B3" w:rsidRDefault="00F362B3" w:rsidP="00F362B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D7574BE" w14:textId="1B4C2DBC" w:rsidR="006102B1" w:rsidRPr="007B7FFA" w:rsidRDefault="006102B1" w:rsidP="00F362B3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Pr="007B7FFA">
        <w:rPr>
          <w:b/>
          <w:bCs/>
          <w:sz w:val="20"/>
          <w:szCs w:val="20"/>
        </w:rPr>
        <w:t>.2 Analyse</w:t>
      </w:r>
    </w:p>
    <w:p w14:paraId="2E0C8135" w14:textId="77777777" w:rsidR="006102B1" w:rsidRPr="007B7FFA" w:rsidRDefault="006102B1" w:rsidP="00F362B3">
      <w:pPr>
        <w:spacing w:after="0" w:line="240" w:lineRule="auto"/>
        <w:jc w:val="both"/>
        <w:rPr>
          <w:b/>
          <w:bCs/>
          <w:color w:val="7030A0"/>
          <w:sz w:val="20"/>
          <w:szCs w:val="20"/>
        </w:rPr>
      </w:pPr>
      <w:r w:rsidRPr="007B7FFA">
        <w:rPr>
          <w:b/>
          <w:bCs/>
          <w:color w:val="7030A0"/>
          <w:sz w:val="20"/>
          <w:szCs w:val="20"/>
        </w:rPr>
        <w:t>Les dépenses d</w:t>
      </w:r>
      <w:r>
        <w:rPr>
          <w:b/>
          <w:bCs/>
          <w:color w:val="7030A0"/>
          <w:sz w:val="20"/>
          <w:szCs w:val="20"/>
        </w:rPr>
        <w:t>’investissement</w:t>
      </w:r>
      <w:r w:rsidRPr="007B7FFA">
        <w:rPr>
          <w:b/>
          <w:bCs/>
          <w:color w:val="7030A0"/>
          <w:sz w:val="20"/>
          <w:szCs w:val="20"/>
        </w:rPr>
        <w:t> :</w:t>
      </w:r>
    </w:p>
    <w:p w14:paraId="30C5931D" w14:textId="77777777" w:rsidR="00C97388" w:rsidRPr="004A5B4B" w:rsidRDefault="006102B1" w:rsidP="00F362B3">
      <w:pPr>
        <w:spacing w:after="0" w:line="240" w:lineRule="auto"/>
        <w:rPr>
          <w:sz w:val="20"/>
          <w:szCs w:val="20"/>
        </w:rPr>
      </w:pPr>
      <w:r w:rsidRPr="004A5B4B">
        <w:rPr>
          <w:sz w:val="20"/>
          <w:szCs w:val="20"/>
        </w:rPr>
        <w:t>Ce sont des dépenses faisant varier durablement la valeur ou la consistance du patrimoine de la collectivité</w:t>
      </w:r>
      <w:r w:rsidR="00F362B3" w:rsidRPr="004A5B4B">
        <w:rPr>
          <w:sz w:val="20"/>
          <w:szCs w:val="20"/>
        </w:rPr>
        <w:t xml:space="preserve"> et le remboursement du capital des emprunts contractés.</w:t>
      </w:r>
    </w:p>
    <w:p w14:paraId="26A9969B" w14:textId="77777777" w:rsidR="00F362B3" w:rsidRDefault="00F362B3" w:rsidP="00F362B3">
      <w:pPr>
        <w:spacing w:after="0" w:line="240" w:lineRule="auto"/>
      </w:pPr>
    </w:p>
    <w:p w14:paraId="53036E55" w14:textId="77777777" w:rsidR="00AE1F74" w:rsidRPr="007B7FFA" w:rsidRDefault="00AE1F74" w:rsidP="00AE1F7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1) Emprunts et dettes assimilés </w:t>
      </w:r>
      <w:r w:rsidRPr="007B7FFA">
        <w:rPr>
          <w:b/>
          <w:bCs/>
          <w:sz w:val="20"/>
          <w:szCs w:val="20"/>
          <w:u w:val="single"/>
        </w:rPr>
        <w:t xml:space="preserve">(chapitre </w:t>
      </w:r>
      <w:r>
        <w:rPr>
          <w:b/>
          <w:bCs/>
          <w:sz w:val="20"/>
          <w:szCs w:val="20"/>
          <w:u w:val="single"/>
        </w:rPr>
        <w:t>16</w:t>
      </w:r>
      <w:r w:rsidRPr="007B7FFA">
        <w:rPr>
          <w:b/>
          <w:bCs/>
          <w:sz w:val="20"/>
          <w:szCs w:val="20"/>
          <w:u w:val="single"/>
        </w:rPr>
        <w:t>)</w:t>
      </w:r>
    </w:p>
    <w:p w14:paraId="45AC8B4B" w14:textId="3CE10E5B" w:rsidR="00F362B3" w:rsidRPr="004A5B4B" w:rsidRDefault="00AE1F74" w:rsidP="00F362B3">
      <w:pPr>
        <w:spacing w:after="0" w:line="240" w:lineRule="auto"/>
        <w:rPr>
          <w:sz w:val="20"/>
          <w:szCs w:val="20"/>
        </w:rPr>
      </w:pPr>
      <w:r w:rsidRPr="004A5B4B">
        <w:rPr>
          <w:sz w:val="20"/>
          <w:szCs w:val="20"/>
        </w:rPr>
        <w:t>L</w:t>
      </w:r>
      <w:r w:rsidR="00D552E6" w:rsidRPr="004A5B4B">
        <w:rPr>
          <w:sz w:val="20"/>
          <w:szCs w:val="20"/>
        </w:rPr>
        <w:t xml:space="preserve">e remboursement du capital de la dette </w:t>
      </w:r>
      <w:r w:rsidRPr="004A5B4B">
        <w:rPr>
          <w:sz w:val="20"/>
          <w:szCs w:val="20"/>
        </w:rPr>
        <w:t>était</w:t>
      </w:r>
      <w:r w:rsidR="00D552E6" w:rsidRPr="004A5B4B">
        <w:rPr>
          <w:sz w:val="20"/>
          <w:szCs w:val="20"/>
        </w:rPr>
        <w:t xml:space="preserve"> de</w:t>
      </w:r>
      <w:r w:rsidR="00955C62">
        <w:rPr>
          <w:sz w:val="20"/>
          <w:szCs w:val="20"/>
        </w:rPr>
        <w:t xml:space="preserve"> </w:t>
      </w:r>
      <w:r w:rsidR="005A59F8">
        <w:rPr>
          <w:sz w:val="20"/>
          <w:szCs w:val="20"/>
        </w:rPr>
        <w:t>71 178,45</w:t>
      </w:r>
      <w:r w:rsidR="00955C62">
        <w:rPr>
          <w:sz w:val="20"/>
          <w:szCs w:val="20"/>
        </w:rPr>
        <w:t xml:space="preserve"> </w:t>
      </w:r>
      <w:r w:rsidR="00D552E6" w:rsidRPr="004A5B4B">
        <w:rPr>
          <w:sz w:val="20"/>
          <w:szCs w:val="20"/>
        </w:rPr>
        <w:t>€</w:t>
      </w:r>
      <w:r w:rsidR="00BF7020" w:rsidRPr="004A5B4B">
        <w:rPr>
          <w:sz w:val="20"/>
          <w:szCs w:val="20"/>
        </w:rPr>
        <w:t xml:space="preserve"> en </w:t>
      </w:r>
      <w:r w:rsidR="00B54843">
        <w:rPr>
          <w:sz w:val="20"/>
          <w:szCs w:val="20"/>
        </w:rPr>
        <w:t>2025</w:t>
      </w:r>
      <w:r w:rsidR="00BF7020" w:rsidRPr="004A5B4B">
        <w:rPr>
          <w:sz w:val="20"/>
          <w:szCs w:val="20"/>
        </w:rPr>
        <w:t>.</w:t>
      </w:r>
    </w:p>
    <w:p w14:paraId="0768A2FA" w14:textId="77777777" w:rsidR="00F362B3" w:rsidRPr="004A5B4B" w:rsidRDefault="00D552E6" w:rsidP="00C97388">
      <w:pPr>
        <w:rPr>
          <w:sz w:val="20"/>
          <w:szCs w:val="20"/>
        </w:rPr>
      </w:pPr>
      <w:r w:rsidRPr="004A5B4B">
        <w:rPr>
          <w:sz w:val="20"/>
          <w:szCs w:val="20"/>
        </w:rPr>
        <w:t>Pour mémoire, la commune a plusieurs emprunts</w:t>
      </w:r>
      <w:r w:rsidR="00AE1F74" w:rsidRPr="004A5B4B">
        <w:rPr>
          <w:sz w:val="20"/>
          <w:szCs w:val="20"/>
        </w:rPr>
        <w:t xml:space="preserve"> contractés, à taux </w:t>
      </w:r>
      <w:r w:rsidR="002F6DD7" w:rsidRPr="004A5B4B">
        <w:rPr>
          <w:sz w:val="20"/>
          <w:szCs w:val="20"/>
        </w:rPr>
        <w:t>fixes, auprès</w:t>
      </w:r>
      <w:r w:rsidR="00C36481" w:rsidRPr="004A5B4B">
        <w:rPr>
          <w:sz w:val="20"/>
          <w:szCs w:val="20"/>
        </w:rPr>
        <w:t xml:space="preserve"> d</w:t>
      </w:r>
      <w:r w:rsidR="00955C62">
        <w:rPr>
          <w:sz w:val="20"/>
          <w:szCs w:val="20"/>
        </w:rPr>
        <w:t>u crédit agricole.</w:t>
      </w:r>
    </w:p>
    <w:p w14:paraId="5441056B" w14:textId="47ADD07A" w:rsidR="00AE1F74" w:rsidRPr="004A5B4B" w:rsidRDefault="00AE1F74" w:rsidP="00C97388">
      <w:pPr>
        <w:rPr>
          <w:sz w:val="20"/>
          <w:szCs w:val="20"/>
        </w:rPr>
      </w:pPr>
      <w:r w:rsidRPr="004A5B4B">
        <w:rPr>
          <w:sz w:val="20"/>
          <w:szCs w:val="20"/>
        </w:rPr>
        <w:t xml:space="preserve">Le capital restant dû au 31 décembre </w:t>
      </w:r>
      <w:r w:rsidR="00B54843">
        <w:rPr>
          <w:sz w:val="20"/>
          <w:szCs w:val="20"/>
        </w:rPr>
        <w:t>2025</w:t>
      </w:r>
      <w:r w:rsidRPr="004A5B4B">
        <w:rPr>
          <w:sz w:val="20"/>
          <w:szCs w:val="20"/>
        </w:rPr>
        <w:t xml:space="preserve"> est de</w:t>
      </w:r>
      <w:r w:rsidR="00955C62">
        <w:rPr>
          <w:sz w:val="20"/>
          <w:szCs w:val="20"/>
        </w:rPr>
        <w:t xml:space="preserve"> </w:t>
      </w:r>
      <w:r w:rsidR="004426FA">
        <w:rPr>
          <w:sz w:val="20"/>
          <w:szCs w:val="20"/>
        </w:rPr>
        <w:t>189 080,17</w:t>
      </w:r>
      <w:r w:rsidR="00955C62">
        <w:rPr>
          <w:sz w:val="20"/>
          <w:szCs w:val="20"/>
        </w:rPr>
        <w:t xml:space="preserve"> €</w:t>
      </w:r>
      <w:r w:rsidRPr="004A5B4B">
        <w:rPr>
          <w:sz w:val="20"/>
          <w:szCs w:val="20"/>
        </w:rPr>
        <w:t>.</w:t>
      </w:r>
    </w:p>
    <w:p w14:paraId="5D79C757" w14:textId="77777777" w:rsidR="00AE1F74" w:rsidRPr="003E104D" w:rsidRDefault="00AE1F74" w:rsidP="00AE1F7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3E104D">
        <w:rPr>
          <w:b/>
          <w:bCs/>
          <w:sz w:val="20"/>
          <w:szCs w:val="20"/>
          <w:u w:val="single"/>
        </w:rPr>
        <w:t xml:space="preserve">2) </w:t>
      </w:r>
      <w:r w:rsidR="003E104D" w:rsidRPr="003E104D">
        <w:rPr>
          <w:b/>
          <w:bCs/>
          <w:u w:val="single"/>
        </w:rPr>
        <w:t>C</w:t>
      </w:r>
      <w:r w:rsidRPr="003E104D">
        <w:rPr>
          <w:b/>
          <w:bCs/>
          <w:u w:val="single"/>
        </w:rPr>
        <w:t>hapitres 21 et 23</w:t>
      </w:r>
    </w:p>
    <w:p w14:paraId="0317BB33" w14:textId="2489AAE9" w:rsidR="00A331DE" w:rsidRDefault="006102B1" w:rsidP="00990FF2">
      <w:pPr>
        <w:jc w:val="both"/>
        <w:rPr>
          <w:rFonts w:cstheme="minorHAnsi"/>
          <w:sz w:val="20"/>
          <w:szCs w:val="20"/>
        </w:rPr>
      </w:pPr>
      <w:r w:rsidRPr="004A5B4B">
        <w:rPr>
          <w:rFonts w:cstheme="minorHAnsi"/>
          <w:sz w:val="20"/>
          <w:szCs w:val="20"/>
        </w:rPr>
        <w:t>Le</w:t>
      </w:r>
      <w:r w:rsidR="00F362B3" w:rsidRPr="004A5B4B">
        <w:rPr>
          <w:rFonts w:cstheme="minorHAnsi"/>
          <w:sz w:val="20"/>
          <w:szCs w:val="20"/>
        </w:rPr>
        <w:t xml:space="preserve">s principaux </w:t>
      </w:r>
      <w:r w:rsidRPr="004A5B4B">
        <w:rPr>
          <w:rFonts w:cstheme="minorHAnsi"/>
          <w:sz w:val="20"/>
          <w:szCs w:val="20"/>
        </w:rPr>
        <w:t xml:space="preserve">investissements réalisés en </w:t>
      </w:r>
      <w:r w:rsidR="00B54843">
        <w:rPr>
          <w:rFonts w:cstheme="minorHAnsi"/>
          <w:sz w:val="20"/>
          <w:szCs w:val="20"/>
        </w:rPr>
        <w:t>2025</w:t>
      </w:r>
      <w:r w:rsidR="00F362B3" w:rsidRPr="004A5B4B">
        <w:rPr>
          <w:rFonts w:cstheme="minorHAnsi"/>
          <w:sz w:val="20"/>
          <w:szCs w:val="20"/>
        </w:rPr>
        <w:t xml:space="preserve"> sont les suivants :</w:t>
      </w:r>
      <w:r w:rsidR="00955C62">
        <w:rPr>
          <w:rFonts w:cstheme="minorHAnsi"/>
          <w:sz w:val="20"/>
          <w:szCs w:val="20"/>
        </w:rPr>
        <w:t xml:space="preserve"> </w:t>
      </w:r>
      <w:r w:rsidR="004426FA">
        <w:rPr>
          <w:rFonts w:cstheme="minorHAnsi"/>
          <w:sz w:val="20"/>
          <w:szCs w:val="20"/>
        </w:rPr>
        <w:t>révision du PLU, conteneurs semi-enterrés, aménagement petite place, l’insonorisation de la cantine, travaux Rue de la Nation, la vidéoprotection, le changement de mobilier à la cantine et l’achat d’un microtracteur.</w:t>
      </w:r>
    </w:p>
    <w:p w14:paraId="2E74D450" w14:textId="77777777" w:rsidR="005A59F8" w:rsidRDefault="005A59F8" w:rsidP="00D552E6">
      <w:pPr>
        <w:spacing w:after="0" w:line="240" w:lineRule="auto"/>
        <w:jc w:val="both"/>
        <w:rPr>
          <w:rFonts w:cstheme="minorHAnsi"/>
          <w:b/>
          <w:bCs/>
          <w:color w:val="7030A0"/>
          <w:sz w:val="20"/>
          <w:szCs w:val="20"/>
        </w:rPr>
      </w:pPr>
    </w:p>
    <w:p w14:paraId="056EED2D" w14:textId="77777777" w:rsidR="005A59F8" w:rsidRDefault="005A59F8" w:rsidP="00D552E6">
      <w:pPr>
        <w:spacing w:after="0" w:line="240" w:lineRule="auto"/>
        <w:jc w:val="both"/>
        <w:rPr>
          <w:rFonts w:cstheme="minorHAnsi"/>
          <w:b/>
          <w:bCs/>
          <w:color w:val="7030A0"/>
          <w:sz w:val="20"/>
          <w:szCs w:val="20"/>
        </w:rPr>
      </w:pPr>
    </w:p>
    <w:p w14:paraId="60BBAB1A" w14:textId="77777777" w:rsidR="004426FA" w:rsidRDefault="004426FA" w:rsidP="00D552E6">
      <w:pPr>
        <w:spacing w:after="0" w:line="240" w:lineRule="auto"/>
        <w:jc w:val="both"/>
        <w:rPr>
          <w:rFonts w:cstheme="minorHAnsi"/>
          <w:b/>
          <w:bCs/>
          <w:color w:val="7030A0"/>
          <w:sz w:val="20"/>
          <w:szCs w:val="20"/>
        </w:rPr>
      </w:pPr>
    </w:p>
    <w:p w14:paraId="062759C4" w14:textId="77777777" w:rsidR="004426FA" w:rsidRDefault="004426FA" w:rsidP="00D552E6">
      <w:pPr>
        <w:spacing w:after="0" w:line="240" w:lineRule="auto"/>
        <w:jc w:val="both"/>
        <w:rPr>
          <w:rFonts w:cstheme="minorHAnsi"/>
          <w:b/>
          <w:bCs/>
          <w:color w:val="7030A0"/>
          <w:sz w:val="20"/>
          <w:szCs w:val="20"/>
        </w:rPr>
      </w:pPr>
    </w:p>
    <w:p w14:paraId="12EA6421" w14:textId="5301C1A6" w:rsidR="00D552E6" w:rsidRPr="004A5B4B" w:rsidRDefault="00D552E6" w:rsidP="00D552E6">
      <w:pPr>
        <w:spacing w:after="0" w:line="240" w:lineRule="auto"/>
        <w:jc w:val="both"/>
        <w:rPr>
          <w:rFonts w:cstheme="minorHAnsi"/>
          <w:b/>
          <w:bCs/>
          <w:color w:val="7030A0"/>
          <w:sz w:val="20"/>
          <w:szCs w:val="20"/>
        </w:rPr>
      </w:pPr>
      <w:r w:rsidRPr="004A5B4B">
        <w:rPr>
          <w:rFonts w:cstheme="minorHAnsi"/>
          <w:b/>
          <w:bCs/>
          <w:color w:val="7030A0"/>
          <w:sz w:val="20"/>
          <w:szCs w:val="20"/>
        </w:rPr>
        <w:t>Les recettes d’investissement :</w:t>
      </w:r>
    </w:p>
    <w:p w14:paraId="45100348" w14:textId="77777777" w:rsidR="00C97388" w:rsidRPr="004A5B4B" w:rsidRDefault="00F13F31" w:rsidP="006E169E">
      <w:pPr>
        <w:jc w:val="both"/>
        <w:rPr>
          <w:rFonts w:cstheme="minorHAnsi"/>
          <w:sz w:val="20"/>
          <w:szCs w:val="20"/>
        </w:rPr>
      </w:pPr>
      <w:r w:rsidRPr="004A5B4B">
        <w:rPr>
          <w:rFonts w:cstheme="minorHAnsi"/>
          <w:sz w:val="20"/>
          <w:szCs w:val="20"/>
        </w:rPr>
        <w:t>Ces recettes englobent les ressources propres, les recettes perçues liées aux projets d’investissement retenus</w:t>
      </w:r>
      <w:r w:rsidR="00955C62">
        <w:rPr>
          <w:rFonts w:cstheme="minorHAnsi"/>
          <w:sz w:val="20"/>
          <w:szCs w:val="20"/>
        </w:rPr>
        <w:t xml:space="preserve"> </w:t>
      </w:r>
      <w:r w:rsidRPr="004A5B4B">
        <w:rPr>
          <w:rFonts w:cstheme="minorHAnsi"/>
          <w:sz w:val="20"/>
          <w:szCs w:val="20"/>
        </w:rPr>
        <w:t>et, si besoin, les emprunts nouveaux.</w:t>
      </w:r>
    </w:p>
    <w:p w14:paraId="125AAAF7" w14:textId="48C93DBD" w:rsidR="00F13F31" w:rsidRPr="004A5B4B" w:rsidRDefault="00F13F31" w:rsidP="00C97388">
      <w:pPr>
        <w:rPr>
          <w:rFonts w:cstheme="minorHAnsi"/>
          <w:sz w:val="20"/>
          <w:szCs w:val="20"/>
        </w:rPr>
      </w:pPr>
      <w:r w:rsidRPr="004A5B4B">
        <w:rPr>
          <w:rFonts w:cstheme="minorHAnsi"/>
          <w:sz w:val="20"/>
          <w:szCs w:val="20"/>
        </w:rPr>
        <w:t xml:space="preserve">Pour l’année </w:t>
      </w:r>
      <w:r w:rsidR="00B54843">
        <w:rPr>
          <w:rFonts w:cstheme="minorHAnsi"/>
          <w:sz w:val="20"/>
          <w:szCs w:val="20"/>
        </w:rPr>
        <w:t>2025</w:t>
      </w:r>
      <w:r w:rsidRPr="004A5B4B">
        <w:rPr>
          <w:rFonts w:cstheme="minorHAnsi"/>
          <w:sz w:val="20"/>
          <w:szCs w:val="20"/>
        </w:rPr>
        <w:t xml:space="preserve">, les recettes d’investissement s’élèvent à </w:t>
      </w:r>
      <w:r w:rsidR="004426FA">
        <w:rPr>
          <w:rFonts w:cstheme="minorHAnsi"/>
          <w:sz w:val="20"/>
          <w:szCs w:val="20"/>
        </w:rPr>
        <w:t>567 598,06</w:t>
      </w:r>
      <w:r w:rsidR="00545D56" w:rsidRPr="004A5B4B">
        <w:rPr>
          <w:rFonts w:cstheme="minorHAnsi"/>
          <w:i/>
          <w:iCs/>
          <w:color w:val="7030A0"/>
          <w:sz w:val="20"/>
          <w:szCs w:val="20"/>
        </w:rPr>
        <w:t xml:space="preserve"> </w:t>
      </w:r>
      <w:r w:rsidRPr="004A5B4B">
        <w:rPr>
          <w:rFonts w:cstheme="minorHAnsi"/>
          <w:sz w:val="20"/>
          <w:szCs w:val="20"/>
        </w:rPr>
        <w:t>€. Elles comprennent :</w:t>
      </w:r>
    </w:p>
    <w:p w14:paraId="3B5D75FC" w14:textId="05DA52D3" w:rsidR="00F13F31" w:rsidRPr="004A5B4B" w:rsidRDefault="00C86751" w:rsidP="00C86751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rPr>
          <w:rFonts w:cstheme="minorHAnsi"/>
          <w:b/>
          <w:bCs/>
          <w:sz w:val="20"/>
          <w:szCs w:val="20"/>
        </w:rPr>
      </w:pPr>
      <w:r w:rsidRPr="004A5B4B">
        <w:rPr>
          <w:rFonts w:cstheme="minorHAnsi"/>
          <w:b/>
          <w:bCs/>
          <w:sz w:val="20"/>
          <w:szCs w:val="20"/>
        </w:rPr>
        <w:t xml:space="preserve">Les recettes réelles </w:t>
      </w:r>
      <w:r w:rsidR="00955C62">
        <w:rPr>
          <w:rFonts w:cstheme="minorHAnsi"/>
          <w:b/>
          <w:bCs/>
          <w:sz w:val="20"/>
          <w:szCs w:val="20"/>
        </w:rPr>
        <w:t>pour un montant de</w:t>
      </w:r>
      <w:r w:rsidR="004426FA">
        <w:rPr>
          <w:rFonts w:cstheme="minorHAnsi"/>
          <w:b/>
          <w:bCs/>
          <w:sz w:val="20"/>
          <w:szCs w:val="20"/>
        </w:rPr>
        <w:t xml:space="preserve"> 499 800,36</w:t>
      </w:r>
      <w:r w:rsidR="00545D56" w:rsidRPr="004A5B4B">
        <w:rPr>
          <w:rFonts w:cstheme="minorHAnsi"/>
          <w:i/>
          <w:iCs/>
          <w:color w:val="7030A0"/>
          <w:sz w:val="20"/>
          <w:szCs w:val="20"/>
        </w:rPr>
        <w:t xml:space="preserve"> </w:t>
      </w:r>
      <w:r w:rsidRPr="004A5B4B">
        <w:rPr>
          <w:rFonts w:cstheme="minorHAnsi"/>
          <w:b/>
          <w:bCs/>
          <w:sz w:val="20"/>
          <w:szCs w:val="20"/>
        </w:rPr>
        <w:t>€</w:t>
      </w:r>
    </w:p>
    <w:p w14:paraId="666C0F30" w14:textId="0B6EED63" w:rsidR="00C86751" w:rsidRPr="004A5B4B" w:rsidRDefault="00C86751" w:rsidP="00C86751">
      <w:pPr>
        <w:pStyle w:val="Paragraphedeliste"/>
        <w:numPr>
          <w:ilvl w:val="0"/>
          <w:numId w:val="1"/>
        </w:numPr>
        <w:ind w:left="1134"/>
        <w:rPr>
          <w:rFonts w:cstheme="minorHAnsi"/>
          <w:sz w:val="20"/>
          <w:szCs w:val="20"/>
        </w:rPr>
      </w:pPr>
      <w:r w:rsidRPr="004A5B4B">
        <w:rPr>
          <w:rFonts w:cstheme="minorHAnsi"/>
          <w:sz w:val="20"/>
          <w:szCs w:val="20"/>
        </w:rPr>
        <w:t xml:space="preserve">Du FCTVA pour </w:t>
      </w:r>
      <w:r w:rsidR="004426FA">
        <w:rPr>
          <w:rFonts w:cstheme="minorHAnsi"/>
          <w:sz w:val="20"/>
          <w:szCs w:val="20"/>
        </w:rPr>
        <w:t>28 325,40</w:t>
      </w:r>
      <w:r w:rsidR="00545D56" w:rsidRPr="004A5B4B">
        <w:rPr>
          <w:rFonts w:cstheme="minorHAnsi"/>
          <w:i/>
          <w:iCs/>
          <w:color w:val="7030A0"/>
          <w:sz w:val="20"/>
          <w:szCs w:val="20"/>
        </w:rPr>
        <w:t xml:space="preserve"> </w:t>
      </w:r>
      <w:r w:rsidRPr="004A5B4B">
        <w:rPr>
          <w:rFonts w:cstheme="minorHAnsi"/>
          <w:sz w:val="20"/>
          <w:szCs w:val="20"/>
        </w:rPr>
        <w:t>€</w:t>
      </w:r>
      <w:r w:rsidR="00976451">
        <w:rPr>
          <w:rFonts w:cstheme="minorHAnsi"/>
          <w:sz w:val="20"/>
          <w:szCs w:val="20"/>
        </w:rPr>
        <w:t>.</w:t>
      </w:r>
    </w:p>
    <w:p w14:paraId="5A8F88EA" w14:textId="74DCD466" w:rsidR="00C86751" w:rsidRDefault="00C86751" w:rsidP="006E169E">
      <w:pPr>
        <w:pStyle w:val="Paragraphedeliste"/>
        <w:numPr>
          <w:ilvl w:val="0"/>
          <w:numId w:val="1"/>
        </w:numPr>
        <w:ind w:left="1134"/>
        <w:jc w:val="both"/>
        <w:rPr>
          <w:rFonts w:cstheme="minorHAnsi"/>
          <w:sz w:val="20"/>
          <w:szCs w:val="20"/>
        </w:rPr>
      </w:pPr>
      <w:r w:rsidRPr="004A5B4B">
        <w:rPr>
          <w:rFonts w:cstheme="minorHAnsi"/>
          <w:sz w:val="20"/>
          <w:szCs w:val="20"/>
        </w:rPr>
        <w:t xml:space="preserve">De notre excédent de fonctionnement capitalisé (1068) lié à une précédente affectation du résultat </w:t>
      </w:r>
      <w:r w:rsidR="005C180F" w:rsidRPr="004A5B4B">
        <w:rPr>
          <w:rFonts w:cstheme="minorHAnsi"/>
          <w:sz w:val="20"/>
          <w:szCs w:val="20"/>
        </w:rPr>
        <w:t xml:space="preserve">pour un montant </w:t>
      </w:r>
      <w:r w:rsidRPr="004A5B4B">
        <w:rPr>
          <w:rFonts w:cstheme="minorHAnsi"/>
          <w:sz w:val="20"/>
          <w:szCs w:val="20"/>
        </w:rPr>
        <w:t>de</w:t>
      </w:r>
      <w:r w:rsidR="00955C62">
        <w:rPr>
          <w:rFonts w:cstheme="minorHAnsi"/>
          <w:sz w:val="20"/>
          <w:szCs w:val="20"/>
        </w:rPr>
        <w:t xml:space="preserve"> </w:t>
      </w:r>
      <w:r w:rsidR="004426FA">
        <w:rPr>
          <w:rFonts w:cstheme="minorHAnsi"/>
          <w:sz w:val="20"/>
          <w:szCs w:val="20"/>
        </w:rPr>
        <w:t>432 357,16</w:t>
      </w:r>
      <w:r w:rsidR="00545D56" w:rsidRPr="004A5B4B">
        <w:rPr>
          <w:rFonts w:cstheme="minorHAnsi"/>
          <w:i/>
          <w:iCs/>
          <w:color w:val="7030A0"/>
          <w:sz w:val="20"/>
          <w:szCs w:val="20"/>
        </w:rPr>
        <w:t xml:space="preserve"> </w:t>
      </w:r>
      <w:r w:rsidRPr="004A5B4B">
        <w:rPr>
          <w:rFonts w:cstheme="minorHAnsi"/>
          <w:sz w:val="20"/>
          <w:szCs w:val="20"/>
        </w:rPr>
        <w:t>€</w:t>
      </w:r>
      <w:r w:rsidR="00976451">
        <w:rPr>
          <w:rFonts w:cstheme="minorHAnsi"/>
          <w:sz w:val="20"/>
          <w:szCs w:val="20"/>
        </w:rPr>
        <w:t>.</w:t>
      </w:r>
    </w:p>
    <w:p w14:paraId="655B7F9F" w14:textId="07E6B15B" w:rsidR="00A0709C" w:rsidRDefault="00A0709C" w:rsidP="006E169E">
      <w:pPr>
        <w:pStyle w:val="Paragraphedeliste"/>
        <w:numPr>
          <w:ilvl w:val="0"/>
          <w:numId w:val="1"/>
        </w:numPr>
        <w:ind w:left="113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Des subventions pour un montant de </w:t>
      </w:r>
      <w:r w:rsidR="004426FA">
        <w:rPr>
          <w:rFonts w:cstheme="minorHAnsi"/>
          <w:sz w:val="20"/>
          <w:szCs w:val="20"/>
        </w:rPr>
        <w:t>39 117,80</w:t>
      </w:r>
      <w:r>
        <w:rPr>
          <w:rFonts w:cstheme="minorHAnsi"/>
          <w:sz w:val="20"/>
          <w:szCs w:val="20"/>
        </w:rPr>
        <w:t xml:space="preserve"> € (</w:t>
      </w:r>
      <w:r w:rsidR="00976451">
        <w:rPr>
          <w:rFonts w:cstheme="minorHAnsi"/>
          <w:sz w:val="20"/>
          <w:szCs w:val="20"/>
        </w:rPr>
        <w:t>Rue de la Nation : 3</w:t>
      </w:r>
      <w:r w:rsidR="00796D64">
        <w:rPr>
          <w:rFonts w:cstheme="minorHAnsi"/>
          <w:sz w:val="20"/>
          <w:szCs w:val="20"/>
        </w:rPr>
        <w:t>3 604</w:t>
      </w:r>
      <w:r w:rsidR="00976451">
        <w:rPr>
          <w:rFonts w:cstheme="minorHAnsi"/>
          <w:sz w:val="20"/>
          <w:szCs w:val="20"/>
        </w:rPr>
        <w:t xml:space="preserve"> €, place publique : </w:t>
      </w:r>
      <w:r w:rsidR="00796D64">
        <w:rPr>
          <w:rFonts w:cstheme="minorHAnsi"/>
          <w:sz w:val="20"/>
          <w:szCs w:val="20"/>
        </w:rPr>
        <w:t>3 842,50</w:t>
      </w:r>
      <w:r w:rsidR="00976451">
        <w:rPr>
          <w:rFonts w:cstheme="minorHAnsi"/>
          <w:sz w:val="20"/>
          <w:szCs w:val="20"/>
        </w:rPr>
        <w:t xml:space="preserve"> € et </w:t>
      </w:r>
      <w:r w:rsidR="00796D64">
        <w:rPr>
          <w:rFonts w:cstheme="minorHAnsi"/>
          <w:sz w:val="20"/>
          <w:szCs w:val="20"/>
        </w:rPr>
        <w:t xml:space="preserve">porte école 1 671,30 </w:t>
      </w:r>
      <w:r w:rsidR="00976451">
        <w:rPr>
          <w:rFonts w:cstheme="minorHAnsi"/>
          <w:sz w:val="20"/>
          <w:szCs w:val="20"/>
        </w:rPr>
        <w:t>€).</w:t>
      </w:r>
    </w:p>
    <w:p w14:paraId="4F84691A" w14:textId="1DD52442" w:rsidR="00F13F31" w:rsidRPr="0013404D" w:rsidRDefault="005C180F" w:rsidP="00C97388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rPr>
          <w:rFonts w:cstheme="minorHAnsi"/>
          <w:b/>
          <w:bCs/>
          <w:sz w:val="20"/>
          <w:szCs w:val="20"/>
        </w:rPr>
      </w:pPr>
      <w:r w:rsidRPr="004A5B4B">
        <w:rPr>
          <w:rFonts w:cstheme="minorHAnsi"/>
          <w:b/>
          <w:bCs/>
          <w:sz w:val="20"/>
          <w:szCs w:val="20"/>
        </w:rPr>
        <w:t xml:space="preserve">Les recettes d’ordre </w:t>
      </w:r>
      <w:r w:rsidR="009F0F23" w:rsidRPr="004A5B4B">
        <w:rPr>
          <w:rFonts w:cstheme="minorHAnsi"/>
          <w:sz w:val="20"/>
          <w:szCs w:val="20"/>
        </w:rPr>
        <w:t xml:space="preserve">qui représentent </w:t>
      </w:r>
      <w:r w:rsidRPr="004A5B4B">
        <w:rPr>
          <w:rFonts w:cstheme="minorHAnsi"/>
          <w:sz w:val="20"/>
          <w:szCs w:val="20"/>
        </w:rPr>
        <w:t>des écritures comptables</w:t>
      </w:r>
      <w:r w:rsidR="00FC6251" w:rsidRPr="004A5B4B">
        <w:rPr>
          <w:rFonts w:cstheme="minorHAnsi"/>
          <w:sz w:val="20"/>
          <w:szCs w:val="20"/>
        </w:rPr>
        <w:t xml:space="preserve"> pour un montant de</w:t>
      </w:r>
      <w:r w:rsidR="00FC6251" w:rsidRPr="004A5B4B">
        <w:rPr>
          <w:rFonts w:cstheme="minorHAnsi"/>
          <w:i/>
          <w:iCs/>
          <w:color w:val="7030A0"/>
          <w:sz w:val="20"/>
          <w:szCs w:val="20"/>
        </w:rPr>
        <w:t xml:space="preserve"> </w:t>
      </w:r>
      <w:r w:rsidR="004426FA">
        <w:rPr>
          <w:rFonts w:cstheme="minorHAnsi"/>
          <w:i/>
          <w:iCs/>
          <w:color w:val="7030A0"/>
          <w:sz w:val="20"/>
          <w:szCs w:val="20"/>
        </w:rPr>
        <w:t>67 797,70</w:t>
      </w:r>
      <w:r w:rsidR="00FC6251" w:rsidRPr="004A5B4B">
        <w:rPr>
          <w:rFonts w:cstheme="minorHAnsi"/>
          <w:i/>
          <w:iCs/>
          <w:color w:val="7030A0"/>
          <w:sz w:val="20"/>
          <w:szCs w:val="20"/>
        </w:rPr>
        <w:t xml:space="preserve"> </w:t>
      </w:r>
      <w:r w:rsidR="00FC6251" w:rsidRPr="004A5B4B">
        <w:rPr>
          <w:rFonts w:cstheme="minorHAnsi"/>
          <w:sz w:val="20"/>
          <w:szCs w:val="20"/>
        </w:rPr>
        <w:t>€</w:t>
      </w:r>
      <w:r w:rsidR="0013404D">
        <w:rPr>
          <w:rFonts w:cstheme="minorHAnsi"/>
          <w:sz w:val="20"/>
          <w:szCs w:val="20"/>
        </w:rPr>
        <w:t>.</w:t>
      </w:r>
    </w:p>
    <w:p w14:paraId="25C0DA19" w14:textId="77777777" w:rsidR="009F0F23" w:rsidRPr="004A5B4B" w:rsidRDefault="009F0F23" w:rsidP="009F0F23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27BA7C7" w14:textId="77777777" w:rsidR="0017465F" w:rsidRDefault="0017465F" w:rsidP="0017465F">
      <w:pPr>
        <w:pStyle w:val="CorpsdetexteMsoNormal"/>
        <w:spacing w:after="0"/>
      </w:pPr>
      <w:r>
        <w:t> </w:t>
      </w:r>
    </w:p>
    <w:sectPr w:rsidR="0017465F" w:rsidSect="009F15BF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neva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E2933"/>
    <w:multiLevelType w:val="hybridMultilevel"/>
    <w:tmpl w:val="274CE8B4"/>
    <w:lvl w:ilvl="0" w:tplc="803E34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67E9B"/>
    <w:multiLevelType w:val="hybridMultilevel"/>
    <w:tmpl w:val="76BA48E4"/>
    <w:lvl w:ilvl="0" w:tplc="35DCAC8E">
      <w:start w:val="2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01859">
    <w:abstractNumId w:val="0"/>
  </w:num>
  <w:num w:numId="2" w16cid:durableId="59028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B6F"/>
    <w:rsid w:val="000166E7"/>
    <w:rsid w:val="00041CA5"/>
    <w:rsid w:val="00055E40"/>
    <w:rsid w:val="00083C2C"/>
    <w:rsid w:val="000D26B4"/>
    <w:rsid w:val="000F33B1"/>
    <w:rsid w:val="00106FD4"/>
    <w:rsid w:val="00116904"/>
    <w:rsid w:val="001306BB"/>
    <w:rsid w:val="0013404D"/>
    <w:rsid w:val="00142C44"/>
    <w:rsid w:val="00143BC9"/>
    <w:rsid w:val="00147673"/>
    <w:rsid w:val="00160180"/>
    <w:rsid w:val="0016452F"/>
    <w:rsid w:val="0017465F"/>
    <w:rsid w:val="001801CC"/>
    <w:rsid w:val="00185AE4"/>
    <w:rsid w:val="001A29F8"/>
    <w:rsid w:val="001D6161"/>
    <w:rsid w:val="001E4D33"/>
    <w:rsid w:val="001F201D"/>
    <w:rsid w:val="001F6641"/>
    <w:rsid w:val="00213851"/>
    <w:rsid w:val="00232ECC"/>
    <w:rsid w:val="002429EA"/>
    <w:rsid w:val="00267954"/>
    <w:rsid w:val="00275B2E"/>
    <w:rsid w:val="00276AEC"/>
    <w:rsid w:val="002A00FF"/>
    <w:rsid w:val="002A5D9C"/>
    <w:rsid w:val="002C6C2C"/>
    <w:rsid w:val="002D0766"/>
    <w:rsid w:val="002F6DD7"/>
    <w:rsid w:val="003162BE"/>
    <w:rsid w:val="003213B3"/>
    <w:rsid w:val="00323CA0"/>
    <w:rsid w:val="00353EB0"/>
    <w:rsid w:val="0036281A"/>
    <w:rsid w:val="0039035A"/>
    <w:rsid w:val="003C0F6F"/>
    <w:rsid w:val="003E104D"/>
    <w:rsid w:val="004027FC"/>
    <w:rsid w:val="00410451"/>
    <w:rsid w:val="00425A8B"/>
    <w:rsid w:val="004426FA"/>
    <w:rsid w:val="00442A1A"/>
    <w:rsid w:val="004856F4"/>
    <w:rsid w:val="004A5B4B"/>
    <w:rsid w:val="004B3DB4"/>
    <w:rsid w:val="004C189A"/>
    <w:rsid w:val="004C2EEC"/>
    <w:rsid w:val="004E55B3"/>
    <w:rsid w:val="004F7555"/>
    <w:rsid w:val="00510CEE"/>
    <w:rsid w:val="00537C87"/>
    <w:rsid w:val="00545D56"/>
    <w:rsid w:val="00564775"/>
    <w:rsid w:val="00571704"/>
    <w:rsid w:val="00582A08"/>
    <w:rsid w:val="00590133"/>
    <w:rsid w:val="00591645"/>
    <w:rsid w:val="005A59F8"/>
    <w:rsid w:val="005C180F"/>
    <w:rsid w:val="005C6C49"/>
    <w:rsid w:val="006102B1"/>
    <w:rsid w:val="00623858"/>
    <w:rsid w:val="00650FE4"/>
    <w:rsid w:val="006514DB"/>
    <w:rsid w:val="00655C4F"/>
    <w:rsid w:val="006629B2"/>
    <w:rsid w:val="006672E2"/>
    <w:rsid w:val="00697CFC"/>
    <w:rsid w:val="006B3CC6"/>
    <w:rsid w:val="006E169E"/>
    <w:rsid w:val="006F0FB7"/>
    <w:rsid w:val="006F23A2"/>
    <w:rsid w:val="006F2C82"/>
    <w:rsid w:val="007025A6"/>
    <w:rsid w:val="00720D43"/>
    <w:rsid w:val="00723CEB"/>
    <w:rsid w:val="00735687"/>
    <w:rsid w:val="00751428"/>
    <w:rsid w:val="00772ADB"/>
    <w:rsid w:val="0077499A"/>
    <w:rsid w:val="00786583"/>
    <w:rsid w:val="00796D64"/>
    <w:rsid w:val="007B7FFA"/>
    <w:rsid w:val="007C003B"/>
    <w:rsid w:val="007C03BD"/>
    <w:rsid w:val="007D70C0"/>
    <w:rsid w:val="0080040B"/>
    <w:rsid w:val="00800523"/>
    <w:rsid w:val="008122D4"/>
    <w:rsid w:val="0081365E"/>
    <w:rsid w:val="00816B6F"/>
    <w:rsid w:val="00830187"/>
    <w:rsid w:val="008376A3"/>
    <w:rsid w:val="00846EE0"/>
    <w:rsid w:val="008479A8"/>
    <w:rsid w:val="008518EF"/>
    <w:rsid w:val="00856C6D"/>
    <w:rsid w:val="00863335"/>
    <w:rsid w:val="008B61BC"/>
    <w:rsid w:val="008C25E2"/>
    <w:rsid w:val="0090613B"/>
    <w:rsid w:val="009164EB"/>
    <w:rsid w:val="00923BEF"/>
    <w:rsid w:val="0094137E"/>
    <w:rsid w:val="00942918"/>
    <w:rsid w:val="00955AF8"/>
    <w:rsid w:val="00955C62"/>
    <w:rsid w:val="009616D6"/>
    <w:rsid w:val="009673CE"/>
    <w:rsid w:val="0097440D"/>
    <w:rsid w:val="00976451"/>
    <w:rsid w:val="009766E5"/>
    <w:rsid w:val="00977A78"/>
    <w:rsid w:val="00990FF2"/>
    <w:rsid w:val="009E53BE"/>
    <w:rsid w:val="009F0F23"/>
    <w:rsid w:val="009F15BF"/>
    <w:rsid w:val="00A01CC3"/>
    <w:rsid w:val="00A02365"/>
    <w:rsid w:val="00A0517D"/>
    <w:rsid w:val="00A0709C"/>
    <w:rsid w:val="00A21241"/>
    <w:rsid w:val="00A23582"/>
    <w:rsid w:val="00A331DE"/>
    <w:rsid w:val="00A441A2"/>
    <w:rsid w:val="00A56F77"/>
    <w:rsid w:val="00AB43B6"/>
    <w:rsid w:val="00AC622D"/>
    <w:rsid w:val="00AE1F74"/>
    <w:rsid w:val="00AF6252"/>
    <w:rsid w:val="00B03EA0"/>
    <w:rsid w:val="00B12400"/>
    <w:rsid w:val="00B22373"/>
    <w:rsid w:val="00B24418"/>
    <w:rsid w:val="00B305FB"/>
    <w:rsid w:val="00B421E2"/>
    <w:rsid w:val="00B54843"/>
    <w:rsid w:val="00B55DB1"/>
    <w:rsid w:val="00B5647B"/>
    <w:rsid w:val="00B608FC"/>
    <w:rsid w:val="00B663A8"/>
    <w:rsid w:val="00B85B3D"/>
    <w:rsid w:val="00BC5464"/>
    <w:rsid w:val="00BC7C32"/>
    <w:rsid w:val="00BD30E5"/>
    <w:rsid w:val="00BD484B"/>
    <w:rsid w:val="00BF7020"/>
    <w:rsid w:val="00C211E8"/>
    <w:rsid w:val="00C2669F"/>
    <w:rsid w:val="00C36481"/>
    <w:rsid w:val="00C51B27"/>
    <w:rsid w:val="00C53AB0"/>
    <w:rsid w:val="00C554AA"/>
    <w:rsid w:val="00C831AA"/>
    <w:rsid w:val="00C86751"/>
    <w:rsid w:val="00C8776A"/>
    <w:rsid w:val="00C910A9"/>
    <w:rsid w:val="00C92103"/>
    <w:rsid w:val="00C97388"/>
    <w:rsid w:val="00CC0B44"/>
    <w:rsid w:val="00CD26AE"/>
    <w:rsid w:val="00CD3836"/>
    <w:rsid w:val="00CE09AF"/>
    <w:rsid w:val="00CE2FEE"/>
    <w:rsid w:val="00CF5DBA"/>
    <w:rsid w:val="00D07ADB"/>
    <w:rsid w:val="00D129A4"/>
    <w:rsid w:val="00D153DB"/>
    <w:rsid w:val="00D446F3"/>
    <w:rsid w:val="00D552E6"/>
    <w:rsid w:val="00D56E4E"/>
    <w:rsid w:val="00D64052"/>
    <w:rsid w:val="00DA5B7C"/>
    <w:rsid w:val="00DA750D"/>
    <w:rsid w:val="00DB53A2"/>
    <w:rsid w:val="00DC279F"/>
    <w:rsid w:val="00DC7E22"/>
    <w:rsid w:val="00DF6E8C"/>
    <w:rsid w:val="00E01DD3"/>
    <w:rsid w:val="00E06D72"/>
    <w:rsid w:val="00E1652D"/>
    <w:rsid w:val="00E405C8"/>
    <w:rsid w:val="00E44B53"/>
    <w:rsid w:val="00E56A56"/>
    <w:rsid w:val="00E76FBE"/>
    <w:rsid w:val="00EA2924"/>
    <w:rsid w:val="00EA4C8F"/>
    <w:rsid w:val="00EB27B3"/>
    <w:rsid w:val="00EB552E"/>
    <w:rsid w:val="00EE1186"/>
    <w:rsid w:val="00F13F31"/>
    <w:rsid w:val="00F24034"/>
    <w:rsid w:val="00F362B3"/>
    <w:rsid w:val="00F433CD"/>
    <w:rsid w:val="00F54455"/>
    <w:rsid w:val="00F6238D"/>
    <w:rsid w:val="00F7101B"/>
    <w:rsid w:val="00F92142"/>
    <w:rsid w:val="00FA7DE3"/>
    <w:rsid w:val="00FB3E75"/>
    <w:rsid w:val="00FC150E"/>
    <w:rsid w:val="00FC6251"/>
    <w:rsid w:val="00FD59CB"/>
    <w:rsid w:val="00FE2674"/>
    <w:rsid w:val="00FE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2FC"/>
  <w15:docId w15:val="{C6227BDF-7CC5-4D6E-88C2-65676FA4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6B6F"/>
    <w:pPr>
      <w:ind w:left="720"/>
      <w:contextualSpacing/>
    </w:pPr>
  </w:style>
  <w:style w:type="table" w:styleId="Grilledutableau">
    <w:name w:val="Table Grid"/>
    <w:basedOn w:val="TableauNormal"/>
    <w:uiPriority w:val="39"/>
    <w:rsid w:val="0066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6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EE0"/>
    <w:rPr>
      <w:rFonts w:ascii="Segoe UI" w:hAnsi="Segoe UI" w:cs="Segoe UI"/>
      <w:sz w:val="18"/>
      <w:szCs w:val="18"/>
    </w:rPr>
  </w:style>
  <w:style w:type="paragraph" w:customStyle="1" w:styleId="CorpsdetexteMsoNormal">
    <w:name w:val="Corps de texte.MsoNormal"/>
    <w:basedOn w:val="Corpsdetexte"/>
    <w:rsid w:val="00EB27B3"/>
    <w:pPr>
      <w:widowControl w:val="0"/>
      <w:suppressAutoHyphens/>
      <w:spacing w:after="140" w:line="288" w:lineRule="auto"/>
    </w:pPr>
    <w:rPr>
      <w:rFonts w:ascii="Arial" w:eastAsia="SimSun" w:hAnsi="Arial" w:cs="Mangal"/>
      <w:kern w:val="1"/>
      <w:szCs w:val="24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B27B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B27B3"/>
  </w:style>
  <w:style w:type="paragraph" w:styleId="NormalWeb">
    <w:name w:val="Normal (Web)"/>
    <w:basedOn w:val="Normal"/>
    <w:uiPriority w:val="99"/>
    <w:unhideWhenUsed/>
    <w:rsid w:val="0054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qFormat/>
    <w:rsid w:val="00174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5</Pages>
  <Words>1560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HANNEZO</dc:creator>
  <cp:keywords/>
  <dc:description/>
  <cp:lastModifiedBy>Mairie Gye sur Seine</cp:lastModifiedBy>
  <cp:revision>25</cp:revision>
  <cp:lastPrinted>2025-03-10T14:29:00Z</cp:lastPrinted>
  <dcterms:created xsi:type="dcterms:W3CDTF">2023-05-03T16:41:00Z</dcterms:created>
  <dcterms:modified xsi:type="dcterms:W3CDTF">2026-04-22T13:45:00Z</dcterms:modified>
</cp:coreProperties>
</file>